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160"/>
              <w:right w:type="dxa" w:w="240"/>
            </w:tcMar>
          </w:tcPr>
          <w:p>
            <w:pPr>
              <w:jc w:val="center"/>
            </w:pPr>
            <w:r>
              <w:rPr>
                <w:rFonts w:ascii="Arial" w:cs="Arial" w:eastAsia="Arial" w:hAnsi="Arial"/>
                <w:b/>
                <w:bCs/>
                <w:color w:val="B8860B"/>
                <w:sz w:val="18"/>
                <w:szCs w:val="18"/>
              </w:rPr>
              <w:t xml:space="preserve">SimpleJoy | SaralAnand Foundation</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80"/>
              <w:right w:type="dxa" w:w="240"/>
            </w:tcMar>
          </w:tcPr>
          <w:p>
            <w:pPr>
              <w:jc w:val="center"/>
            </w:pPr>
            <w:r>
              <w:rPr>
                <w:rFonts w:ascii="Arial" w:cs="Arial" w:eastAsia="Arial" w:hAnsi="Arial"/>
                <w:b/>
                <w:bCs/>
                <w:color w:val="FFFFFF"/>
                <w:sz w:val="26"/>
                <w:szCs w:val="26"/>
              </w:rPr>
              <w:t xml:space="preserve">INTERNATIONAL BACCALAUREATE</w:t>
            </w:r>
          </w:p>
        </w:tc>
      </w:tr>
      <w:tr>
        <w:tc>
          <w:tcPr>
            <w:tcW w:type="dxa" w:w="10080"/>
            <w:tcBorders>
              <w:top w:val="none"/>
              <w:left w:val="none"/>
              <w:bottom w:val="none"/>
              <w:right w:val="none"/>
            </w:tcBorders>
            <w:shd w:fill="1F3864" w:val="clear"/>
            <w:tcMar>
              <w:top w:type="dxa" w:w="0"/>
              <w:left w:type="dxa" w:w="240"/>
              <w:bottom w:type="dxa" w:w="140"/>
              <w:right w:type="dxa" w:w="240"/>
            </w:tcMar>
          </w:tcPr>
          <w:p>
            <w:pPr>
              <w:jc w:val="center"/>
            </w:pPr>
            <w:r>
              <w:rPr>
                <w:rFonts w:ascii="Arial" w:cs="Arial" w:eastAsia="Arial" w:hAnsi="Arial"/>
                <w:color w:val="BBCCDD"/>
                <w:sz w:val="17"/>
                <w:szCs w:val="17"/>
              </w:rPr>
              <w:t xml:space="preserve">Curriculum Alignment Document</w:t>
            </w:r>
          </w:p>
        </w:tc>
      </w:tr>
    </w:tbl>
    <w:p>
      <w:pPr>
        <w:spacing w:after="400" w:before="0"/>
      </w:pPr>
    </w:p>
    <w:p>
      <w:pPr>
        <w:spacing w:after="80" w:before="0"/>
        <w:jc w:val="center"/>
      </w:pPr>
      <w:r>
        <w:rPr>
          <w:rFonts w:ascii="Arial" w:cs="Arial" w:eastAsia="Arial" w:hAnsi="Arial"/>
          <w:b/>
          <w:bCs/>
          <w:color w:val="1F3864"/>
          <w:sz w:val="24"/>
          <w:szCs w:val="24"/>
        </w:rPr>
        <w:t xml:space="preserve">Raising An Entrepreneur: SimpleJoy | SaralAnand</w:t>
      </w:r>
    </w:p>
    <w:p>
      <w:pPr>
        <w:spacing w:after="60" w:before="0"/>
        <w:jc w:val="center"/>
      </w:pPr>
      <w:r>
        <w:rPr>
          <w:rFonts w:ascii="Arial" w:cs="Arial" w:eastAsia="Arial" w:hAnsi="Arial"/>
          <w:color w:val="888888"/>
          <w:sz w:val="20"/>
          <w:szCs w:val="20"/>
        </w:rPr>
        <w:t xml:space="preserve">52-Week Family Entrepreneurship Programme</w:t>
      </w:r>
    </w:p>
    <w:p>
      <w:pPr>
        <w:spacing w:after="400" w:before="0"/>
      </w:pPr>
    </w:p>
    <w:p>
      <w:pPr>
        <w:pBdr>
          <w:bottom w:val="single" w:color="B8860B" w:sz="4"/>
        </w:pBdr>
        <w:spacing w:after="160" w:before="160"/>
      </w:pPr>
    </w:p>
    <w:p>
      <w:pPr>
        <w:spacing w:after="4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1F3864" w:sz="4"/>
              <w:left w:val="single" w:color="1F3864" w:sz="14"/>
              <w:bottom w:val="single" w:color="1F3864" w:sz="4"/>
              <w:right w:val="none"/>
            </w:tcBorders>
            <w:shd w:fill="EAF0FA" w:val="clear"/>
            <w:tcMar>
              <w:top w:type="dxa" w:w="130"/>
              <w:left w:type="dxa" w:w="220"/>
              <w:bottom w:type="dxa" w:w="130"/>
              <w:right w:type="dxa" w:w="200"/>
            </w:tcMar>
          </w:tcPr>
          <w:p>
            <w:pPr>
              <w:spacing w:after="70" w:before="0" w:line="270" w:lineRule="auto"/>
            </w:pPr>
            <w:r>
              <w:rPr>
                <w:rFonts w:ascii="Arial" w:cs="Arial" w:eastAsia="Arial" w:hAnsi="Arial"/>
                <w:color w:val="444444"/>
                <w:sz w:val="19"/>
                <w:szCs w:val="19"/>
              </w:rPr>
              <w:t xml:space="preserve">PREPARED FOR: International Baccalaureate schools and authorised IB World Schools</w:t>
            </w:r>
          </w:p>
          <w:p>
            <w:pPr>
              <w:spacing w:after="70" w:before="0" w:line="270" w:lineRule="auto"/>
            </w:pPr>
            <w:r>
              <w:rPr>
                <w:rFonts w:ascii="Arial" w:cs="Arial" w:eastAsia="Arial" w:hAnsi="Arial"/>
                <w:color w:val="444444"/>
                <w:sz w:val="19"/>
                <w:szCs w:val="19"/>
              </w:rPr>
              <w:t xml:space="preserve">PROGRAMMES COVERED: PYP (Primary Years Programme) · MYP (Middle Years Programme)</w:t>
            </w:r>
          </w:p>
          <w:p>
            <w:pPr>
              <w:spacing w:after="70" w:before="0" w:line="270" w:lineRule="auto"/>
            </w:pPr>
            <w:r>
              <w:rPr>
                <w:rFonts w:ascii="Arial" w:cs="Arial" w:eastAsia="Arial" w:hAnsi="Arial"/>
                <w:color w:val="444444"/>
                <w:sz w:val="19"/>
                <w:szCs w:val="19"/>
              </w:rPr>
              <w:t xml:space="preserve">AGE RANGE: PYP Ages 6–12 · MYP Ages 11–16</w:t>
            </w:r>
          </w:p>
          <w:p>
            <w:pPr>
              <w:spacing w:after="70" w:before="0" w:line="270" w:lineRule="auto"/>
            </w:pPr>
            <w:r>
              <w:rPr>
                <w:rFonts w:ascii="Arial" w:cs="Arial" w:eastAsia="Arial" w:hAnsi="Arial"/>
                <w:color w:val="444444"/>
                <w:sz w:val="19"/>
                <w:szCs w:val="19"/>
              </w:rPr>
              <w:t xml:space="preserve">ALIGNMENT TYPE: Family engagement + co-curricular curriculum reinforcement</w:t>
            </w:r>
          </w:p>
          <w:p>
            <w:pPr>
              <w:spacing w:after="70" w:before="0" w:line="270" w:lineRule="auto"/>
            </w:pPr>
            <w:r>
              <w:rPr>
                <w:rFonts w:ascii="Arial" w:cs="Arial" w:eastAsia="Arial" w:hAnsi="Arial"/>
                <w:color w:val="444444"/>
                <w:sz w:val="19"/>
                <w:szCs w:val="19"/>
              </w:rPr>
              <w:t xml:space="preserve">DOCUMENT VERSION: 1.0 · July 2026</w:t>
            </w:r>
          </w:p>
        </w:tc>
      </w:tr>
    </w:tbl>
    <w:p>
      <w:pPr>
        <w:spacing w:after="400" w:before="0"/>
      </w:pPr>
    </w:p>
    <w:p>
      <w:pPr>
        <w:pBdr>
          <w:bottom w:val="single" w:color="B8860B" w:sz="4"/>
        </w:pBdr>
        <w:spacing w:after="160" w:before="160"/>
      </w:pPr>
    </w:p>
    <w:p>
      <w:pPr>
        <w:spacing w:after="320" w:before="0"/>
      </w:pPr>
    </w:p>
    <w:p>
      <w:pPr>
        <w:spacing w:after="60" w:before="0"/>
        <w:jc w:val="center"/>
      </w:pPr>
      <w:r>
        <w:rPr>
          <w:rFonts w:ascii="Arial" w:cs="Arial" w:eastAsia="Arial" w:hAnsi="Arial"/>
          <w:b/>
          <w:bCs/>
          <w:color w:val="1F3864"/>
          <w:sz w:val="20"/>
          <w:szCs w:val="20"/>
        </w:rPr>
        <w:t xml:space="preserve">Vishnu Shanker and Nivedita Shanker</w:t>
      </w:r>
    </w:p>
    <w:p>
      <w:pPr>
        <w:spacing w:after="60" w:before="0"/>
        <w:jc w:val="center"/>
      </w:pPr>
      <w:r>
        <w:rPr>
          <w:rFonts w:ascii="Arial" w:cs="Arial" w:eastAsia="Arial" w:hAnsi="Arial"/>
          <w:color w:val="888888"/>
          <w:sz w:val="17"/>
          <w:szCs w:val="17"/>
        </w:rPr>
        <w:t xml:space="preserve">SimpleJoy | SaralAnand Foundation  ·  simplejoyfamily.com</w:t>
      </w: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160"/>
              <w:right w:type="dxa" w:w="240"/>
            </w:tcMar>
          </w:tcPr>
          <w:p>
            <w:pPr>
              <w:jc w:val="center"/>
            </w:pPr>
            <w:r>
              <w:rPr>
                <w:rFonts w:ascii="Arial" w:cs="Arial" w:eastAsia="Arial" w:hAnsi="Arial"/>
                <w:b/>
                <w:bCs/>
                <w:color w:val="FFFFFF"/>
                <w:sz w:val="20"/>
                <w:szCs w:val="20"/>
              </w:rPr>
              <w:t xml:space="preserve">EXECUTIVE SUMMARY</w:t>
            </w:r>
          </w:p>
        </w:tc>
      </w:tr>
    </w:tbl>
    <w:p>
      <w:pPr>
        <w:spacing w:after="320" w:before="0"/>
      </w:pPr>
    </w:p>
    <w:p>
      <w:pPr>
        <w:spacing w:after="90" w:before="240"/>
      </w:pPr>
      <w:r>
        <w:rPr>
          <w:rFonts w:ascii="Arial" w:cs="Arial" w:eastAsia="Arial" w:hAnsi="Arial"/>
          <w:b/>
          <w:bCs/>
          <w:color w:val="1F3864"/>
          <w:sz w:val="22"/>
          <w:szCs w:val="22"/>
        </w:rPr>
        <w:t xml:space="preserve">About This Document</w:t>
      </w:r>
    </w:p>
    <w:p>
      <w:pPr>
        <w:spacing w:after="160" w:before="0" w:line="290" w:lineRule="auto"/>
        <w:jc w:val="both"/>
      </w:pPr>
      <w:r>
        <w:rPr>
          <w:rFonts w:ascii="Arial" w:cs="Arial" w:eastAsia="Arial" w:hAnsi="Arial"/>
          <w:b w:val="false"/>
          <w:bCs w:val="false"/>
          <w:i w:val="false"/>
          <w:iCs w:val="false"/>
          <w:color w:val="444444"/>
          <w:sz w:val="20"/>
          <w:szCs w:val="20"/>
        </w:rPr>
        <w:t xml:space="preserve">This document demonstrates the alignment between the SimpleJoy | SaralAnand 52-week family entrepreneurship programme and the International Baccalaureate (IB) educational framework, specifically the Primary Years Programme (PYP) and Middle Years Programme (MYP).</w:t>
      </w:r>
    </w:p>
    <w:p>
      <w:pPr>
        <w:spacing w:after="160" w:before="0" w:line="290" w:lineRule="auto"/>
        <w:jc w:val="both"/>
      </w:pPr>
      <w:r>
        <w:rPr>
          <w:rFonts w:ascii="Arial" w:cs="Arial" w:eastAsia="Arial" w:hAnsi="Arial"/>
          <w:b w:val="false"/>
          <w:bCs w:val="false"/>
          <w:i w:val="false"/>
          <w:iCs w:val="false"/>
          <w:color w:val="444444"/>
          <w:sz w:val="20"/>
          <w:szCs w:val="20"/>
        </w:rPr>
        <w:t xml:space="preserve">SimpleJoy | SaralAnand is a free weekly programme for families designed to develop entrepreneurial mindset, skills, and character in children aged 8–18. The programme runs across 52 weekly episodes, 10 pillars, and 4 phases — delivered as free YouTube videos (#UdyamMaa_EntrepreneurialParent for parents, #UdyamMe_EntrepreneurialChild for children) with structured home challenges.</w:t>
      </w:r>
    </w:p>
    <w:p>
      <w:pPr>
        <w:spacing w:after="160" w:before="0" w:line="290" w:lineRule="auto"/>
        <w:jc w:val="both"/>
      </w:pPr>
      <w:r>
        <w:rPr>
          <w:rFonts w:ascii="Arial" w:cs="Arial" w:eastAsia="Arial" w:hAnsi="Arial"/>
          <w:b w:val="false"/>
          <w:bCs w:val="false"/>
          <w:i w:val="false"/>
          <w:iCs w:val="false"/>
          <w:color w:val="444444"/>
          <w:sz w:val="20"/>
          <w:szCs w:val="20"/>
        </w:rPr>
        <w:t xml:space="preserve">This document is intended for IB Coordinators, Heads of School, and curriculum leaders evaluating the programme as a family engagement tool, co-curricular offering, or home-school reinforcement activity.</w:t>
      </w:r>
    </w:p>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B8860B" w:sz="4"/>
              <w:left w:val="single" w:color="B8860B" w:sz="14"/>
              <w:bottom w:val="single" w:color="B8860B" w:sz="4"/>
              <w:right w:val="none"/>
            </w:tcBorders>
            <w:shd w:fill="FDF6E3" w:val="clear"/>
            <w:tcMar>
              <w:top w:type="dxa" w:w="130"/>
              <w:left w:type="dxa" w:w="220"/>
              <w:bottom w:type="dxa" w:w="130"/>
              <w:right w:type="dxa" w:w="200"/>
            </w:tcMar>
          </w:tcPr>
          <w:p>
            <w:pPr>
              <w:spacing w:after="70" w:before="0" w:line="270" w:lineRule="auto"/>
            </w:pPr>
            <w:r>
              <w:rPr>
                <w:rFonts w:ascii="Arial" w:cs="Arial" w:eastAsia="Arial" w:hAnsi="Arial"/>
                <w:color w:val="444444"/>
                <w:sz w:val="19"/>
                <w:szCs w:val="19"/>
              </w:rPr>
              <w:t xml:space="preserve">KEY FINDING: All 10 programme pillars map to one or more IB Learner Profile attributes.</w:t>
            </w:r>
          </w:p>
          <w:p>
            <w:pPr>
              <w:spacing w:after="70" w:before="0" w:line="270" w:lineRule="auto"/>
            </w:pPr>
            <w:r>
              <w:rPr>
                <w:rFonts w:ascii="Arial" w:cs="Arial" w:eastAsia="Arial" w:hAnsi="Arial"/>
                <w:color w:val="444444"/>
                <w:sz w:val="19"/>
                <w:szCs w:val="19"/>
              </w:rPr>
              <w:t xml:space="preserve">KEY FINDING: All 5 IB Approaches to Learning (ATL) skill categories are directly addressed.</w:t>
            </w:r>
          </w:p>
          <w:p>
            <w:pPr>
              <w:spacing w:after="70" w:before="0" w:line="270" w:lineRule="auto"/>
            </w:pPr>
            <w:r>
              <w:rPr>
                <w:rFonts w:ascii="Arial" w:cs="Arial" w:eastAsia="Arial" w:hAnsi="Arial"/>
                <w:color w:val="444444"/>
                <w:sz w:val="19"/>
                <w:szCs w:val="19"/>
              </w:rPr>
              <w:t xml:space="preserve">KEY FINDING: All 6 PYP transdisciplinary themes are reinforced across the 52-week arc.</w:t>
            </w:r>
          </w:p>
          <w:p>
            <w:pPr>
              <w:spacing w:after="70" w:before="0" w:line="270" w:lineRule="auto"/>
            </w:pPr>
            <w:r>
              <w:rPr>
                <w:rFonts w:ascii="Arial" w:cs="Arial" w:eastAsia="Arial" w:hAnsi="Arial"/>
                <w:color w:val="444444"/>
                <w:sz w:val="19"/>
                <w:szCs w:val="19"/>
              </w:rPr>
              <w:t xml:space="preserve">KEY FINDING: The programme's tools provide portfolio evidence aligned to MYP assessment criteria.</w:t>
            </w:r>
          </w:p>
          <w:p>
            <w:pPr>
              <w:spacing w:after="70" w:before="0" w:line="270" w:lineRule="auto"/>
            </w:pPr>
            <w:r>
              <w:rPr>
                <w:rFonts w:ascii="Arial" w:cs="Arial" w:eastAsia="Arial" w:hAnsi="Arial"/>
                <w:color w:val="444444"/>
                <w:sz w:val="19"/>
                <w:szCs w:val="19"/>
              </w:rPr>
              <w:t xml:space="preserve">KEY FINDING: The programme operates as a family engagement layer — it reinforces, not replaces, IB curriculum.</w:t>
            </w:r>
          </w:p>
        </w:tc>
      </w:tr>
    </w:tbl>
    <w:p>
      <w:pPr>
        <w:spacing w:after="320" w:before="0"/>
      </w:pPr>
    </w:p>
    <w:p>
      <w:pPr>
        <w:spacing w:after="90" w:before="240"/>
      </w:pPr>
      <w:r>
        <w:rPr>
          <w:rFonts w:ascii="Arial" w:cs="Arial" w:eastAsia="Arial" w:hAnsi="Arial"/>
          <w:b/>
          <w:bCs/>
          <w:color w:val="1F3864"/>
          <w:sz w:val="22"/>
          <w:szCs w:val="22"/>
        </w:rPr>
        <w:t xml:space="preserve">How to Use This Document</w:t>
      </w:r>
    </w:p>
    <w:p>
      <w:pPr>
        <w:spacing w:after="160" w:before="0" w:line="290" w:lineRule="auto"/>
        <w:jc w:val="both"/>
      </w:pPr>
      <w:r>
        <w:rPr>
          <w:rFonts w:ascii="Arial" w:cs="Arial" w:eastAsia="Arial" w:hAnsi="Arial"/>
          <w:b w:val="false"/>
          <w:bCs w:val="false"/>
          <w:i w:val="false"/>
          <w:iCs w:val="false"/>
          <w:color w:val="444444"/>
          <w:sz w:val="20"/>
          <w:szCs w:val="20"/>
        </w:rPr>
        <w:t xml:space="preserve">This document is organised in five sections:</w:t>
      </w:r>
    </w:p>
    <w:p>
      <w:pPr>
        <w:spacing w:after="80" w:before="0"/>
        <w:ind w:left="360"/>
      </w:pPr>
      <w:r>
        <w:rPr>
          <w:rFonts w:ascii="Arial" w:cs="Arial" w:eastAsia="Arial" w:hAnsi="Arial"/>
          <w:color w:val="444444"/>
          <w:sz w:val="19"/>
          <w:szCs w:val="19"/>
        </w:rPr>
        <w:t xml:space="preserve">→  Section 1 — Programme Overview: what SimpleJoy | SaralAnand is and how it works</w:t>
      </w:r>
    </w:p>
    <w:p>
      <w:pPr>
        <w:spacing w:after="80" w:before="0"/>
        <w:ind w:left="360"/>
      </w:pPr>
      <w:r>
        <w:rPr>
          <w:rFonts w:ascii="Arial" w:cs="Arial" w:eastAsia="Arial" w:hAnsi="Arial"/>
          <w:color w:val="444444"/>
          <w:sz w:val="19"/>
          <w:szCs w:val="19"/>
        </w:rPr>
        <w:t xml:space="preserve">→  Section 2 — IB Learner Profile Alignment: all 10 attributes mapped to programme pillars</w:t>
      </w:r>
    </w:p>
    <w:p>
      <w:pPr>
        <w:spacing w:after="80" w:before="0"/>
        <w:ind w:left="360"/>
      </w:pPr>
      <w:r>
        <w:rPr>
          <w:rFonts w:ascii="Arial" w:cs="Arial" w:eastAsia="Arial" w:hAnsi="Arial"/>
          <w:color w:val="444444"/>
          <w:sz w:val="19"/>
          <w:szCs w:val="19"/>
        </w:rPr>
        <w:t xml:space="preserve">→  Section 3 — IB ATL Skills Alignment: all 5 skill categories mapped to programme tools</w:t>
      </w:r>
    </w:p>
    <w:p>
      <w:pPr>
        <w:spacing w:after="80" w:before="0"/>
        <w:ind w:left="360"/>
      </w:pPr>
      <w:r>
        <w:rPr>
          <w:rFonts w:ascii="Arial" w:cs="Arial" w:eastAsia="Arial" w:hAnsi="Arial"/>
          <w:color w:val="444444"/>
          <w:sz w:val="19"/>
          <w:szCs w:val="19"/>
        </w:rPr>
        <w:t xml:space="preserve">→  Section 4 — PYP Transdisciplinary Theme Alignment: all 6 themes across the 52-week arc</w:t>
      </w:r>
    </w:p>
    <w:p>
      <w:pPr>
        <w:spacing w:after="80" w:before="0"/>
        <w:ind w:left="360"/>
      </w:pPr>
      <w:r>
        <w:rPr>
          <w:rFonts w:ascii="Arial" w:cs="Arial" w:eastAsia="Arial" w:hAnsi="Arial"/>
          <w:color w:val="444444"/>
          <w:sz w:val="19"/>
          <w:szCs w:val="19"/>
        </w:rPr>
        <w:t xml:space="preserve">→  Section 5 — Week-by-Week IB Reference: 18 representative episodes with full IB references</w:t>
      </w:r>
    </w:p>
    <w:p>
      <w:pPr>
        <w:spacing w:after="80" w:before="0"/>
        <w:ind w:left="360"/>
      </w:pPr>
      <w:r>
        <w:rPr>
          <w:rFonts w:ascii="Arial" w:cs="Arial" w:eastAsia="Arial" w:hAnsi="Arial"/>
          <w:color w:val="444444"/>
          <w:sz w:val="19"/>
          <w:szCs w:val="19"/>
        </w:rPr>
        <w:t xml:space="preserve">→  Section 6 — Implementation Models: three ways schools can integrate the programme</w:t>
      </w:r>
    </w:p>
    <w:p>
      <w:pPr>
        <w:spacing w:after="80" w:before="0"/>
        <w:ind w:left="360"/>
      </w:pPr>
      <w:r>
        <w:rPr>
          <w:rFonts w:ascii="Arial" w:cs="Arial" w:eastAsia="Arial" w:hAnsi="Arial"/>
          <w:color w:val="444444"/>
          <w:sz w:val="19"/>
          <w:szCs w:val="19"/>
        </w:rPr>
        <w:t xml:space="preserve">→  Section 7 — Portfolio Evidence: how the Idea Notebook aligns to MYP assessment</w:t>
      </w: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1: PROGRAMME OVERVIEW</w:t>
            </w:r>
          </w:p>
        </w:tc>
      </w:tr>
      <w:tr>
        <w:tc>
          <w:tcPr>
            <w:tcW w:type="dxa" w:w="10080"/>
            <w:tcBorders>
              <w:top w:val="none"/>
              <w:left w:val="none"/>
              <w:bottom w:val="none"/>
              <w:right w:val="none"/>
            </w:tcBorders>
            <w:shd w:fill="1F3864" w:val="clear"/>
            <w:tcMar>
              <w:top w:type="dxa" w:w="0"/>
              <w:left w:type="dxa" w:w="240"/>
              <w:bottom w:type="dxa" w:w="140"/>
              <w:right w:type="dxa" w:w="240"/>
            </w:tcMar>
          </w:tcPr>
          <w:p>
            <w:pPr>
              <w:jc w:val="center"/>
            </w:pPr>
            <w:r>
              <w:rPr>
                <w:rFonts w:ascii="Arial" w:cs="Arial" w:eastAsia="Arial" w:hAnsi="Arial"/>
                <w:color w:val="BBCCDD"/>
                <w:sz w:val="17"/>
                <w:szCs w:val="17"/>
              </w:rPr>
              <w:t xml:space="preserve">What SimpleJoy | SaralAnand Is and How It Works</w:t>
            </w:r>
          </w:p>
        </w:tc>
      </w:tr>
    </w:tbl>
    <w:p>
      <w:pPr>
        <w:spacing w:after="320" w:before="0"/>
      </w:pPr>
    </w:p>
    <w:p>
      <w:pPr>
        <w:spacing w:after="90" w:before="240"/>
      </w:pPr>
      <w:r>
        <w:rPr>
          <w:rFonts w:ascii="Arial" w:cs="Arial" w:eastAsia="Arial" w:hAnsi="Arial"/>
          <w:b/>
          <w:bCs/>
          <w:color w:val="1F3864"/>
          <w:sz w:val="22"/>
          <w:szCs w:val="22"/>
        </w:rPr>
        <w:t xml:space="preserve">The Programme</w:t>
      </w:r>
    </w:p>
    <w:p>
      <w:pPr>
        <w:spacing w:after="160" w:before="0" w:line="290" w:lineRule="auto"/>
        <w:jc w:val="both"/>
      </w:pPr>
      <w:r>
        <w:rPr>
          <w:rFonts w:ascii="Arial" w:cs="Arial" w:eastAsia="Arial" w:hAnsi="Arial"/>
          <w:b w:val="false"/>
          <w:bCs w:val="false"/>
          <w:i w:val="false"/>
          <w:iCs w:val="false"/>
          <w:color w:val="444444"/>
          <w:sz w:val="20"/>
          <w:szCs w:val="20"/>
        </w:rPr>
        <w:t xml:space="preserve">SimpleJoy | SaralAnand is a 52-week family entrepreneurship programme designed to develop the mindset, skills, and character that enable children to build rather than wait — to create rather than merely consume. The programme is built around 10 pillars, delivered across 4 phases, in 52 weekly episodes.</w:t>
      </w:r>
    </w:p>
    <w:p>
      <w:pPr>
        <w:spacing w:after="160" w:before="0" w:line="290" w:lineRule="auto"/>
        <w:jc w:val="both"/>
      </w:pPr>
      <w:r>
        <w:rPr>
          <w:rFonts w:ascii="Arial" w:cs="Arial" w:eastAsia="Arial" w:hAnsi="Arial"/>
          <w:b w:val="false"/>
          <w:bCs w:val="false"/>
          <w:i w:val="false"/>
          <w:iCs w:val="false"/>
          <w:color w:val="444444"/>
          <w:sz w:val="20"/>
          <w:szCs w:val="20"/>
        </w:rPr>
        <w:t xml:space="preserve">Every week: one 3-minute parent video (#UdyamMaa_EntrepreneurialParent), one 60-second animated children's episode (#UdyamMe_EntrepreneurialChild), and one structured home challenge. All content is free and available at simplejoyfamily.com and on YouTube.</w:t>
      </w:r>
    </w:p>
    <w:p>
      <w:pPr>
        <w:spacing w:after="200" w:before="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1400"/>
        <w:gridCol w:w="1200"/>
        <w:gridCol w:w="1400"/>
        <w:gridCol w:w="1600"/>
        <w:gridCol w:w="4200"/>
      </w:tblGrid>
      <w:tr>
        <w:tc>
          <w:tcPr>
            <w:tcW w:type="dxa" w:w="14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Phase</w:t>
            </w:r>
          </w:p>
        </w:tc>
        <w:tc>
          <w:tcPr>
            <w:tcW w:type="dxa" w:w="12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Weeks</w:t>
            </w:r>
          </w:p>
        </w:tc>
        <w:tc>
          <w:tcPr>
            <w:tcW w:type="dxa" w:w="14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Pillars</w:t>
            </w:r>
          </w:p>
        </w:tc>
        <w:tc>
          <w:tcPr>
            <w:tcW w:type="dxa" w:w="16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Theme</w:t>
            </w:r>
          </w:p>
        </w:tc>
        <w:tc>
          <w:tcPr>
            <w:tcW w:type="dxa" w:w="42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Key Tools</w:t>
            </w:r>
          </w:p>
        </w:tc>
      </w:tr>
      <w:tr>
        <w:tc>
          <w:tcPr>
            <w:tcW w:type="dxa" w:w="1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Phase 1</w:t>
            </w:r>
          </w:p>
        </w:tc>
        <w:tc>
          <w:tcPr>
            <w:tcW w:type="dxa" w:w="12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Weeks 1–13</w:t>
            </w:r>
          </w:p>
        </w:tc>
        <w:tc>
          <w:tcPr>
            <w:tcW w:type="dxa" w:w="1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2C5F2E"/>
                <w:sz w:val="17"/>
                <w:szCs w:val="17"/>
              </w:rPr>
              <w:t xml:space="preserve">Pillars 0–4</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Foundation</w:t>
            </w:r>
          </w:p>
        </w:tc>
        <w:tc>
          <w:tcPr>
            <w:tcW w:type="dxa" w:w="42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Box Breathing · Coaching Switch · Curiosity · Resilience · Experiment Mindset</w:t>
            </w:r>
          </w:p>
        </w:tc>
      </w:tr>
      <w:tr>
        <w:tc>
          <w:tcPr>
            <w:tcW w:type="dxa" w:w="14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Phase 2</w:t>
            </w:r>
          </w:p>
        </w:tc>
        <w:tc>
          <w:tcPr>
            <w:tcW w:type="dxa" w:w="12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Weeks 14–26</w:t>
            </w:r>
          </w:p>
        </w:tc>
        <w:tc>
          <w:tcPr>
            <w:tcW w:type="dxa" w:w="14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2C5F2E"/>
                <w:sz w:val="17"/>
                <w:szCs w:val="17"/>
              </w:rPr>
              <w:t xml:space="preserve">Pillars 5–7</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Financial &amp; Analytical</w:t>
            </w:r>
          </w:p>
        </w:tc>
        <w:tc>
          <w:tcPr>
            <w:tcW w:type="dxa" w:w="42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Four Jars · Micro-Business · Three Questions · Time Audit · Priority Matrix</w:t>
            </w:r>
          </w:p>
        </w:tc>
      </w:tr>
      <w:tr>
        <w:tc>
          <w:tcPr>
            <w:tcW w:type="dxa" w:w="1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Phase 3</w:t>
            </w:r>
          </w:p>
        </w:tc>
        <w:tc>
          <w:tcPr>
            <w:tcW w:type="dxa" w:w="12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Weeks 27–39</w:t>
            </w:r>
          </w:p>
        </w:tc>
        <w:tc>
          <w:tcPr>
            <w:tcW w:type="dxa" w:w="1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2C5F2E"/>
                <w:sz w:val="17"/>
                <w:szCs w:val="17"/>
              </w:rPr>
              <w:t xml:space="preserve">Pillars 8–9</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Communication &amp; Creativity</w:t>
            </w:r>
          </w:p>
        </w:tc>
        <w:tc>
          <w:tcPr>
            <w:tcW w:type="dxa" w:w="42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Five-Part Pitch · Active Listening · Business Story · Idea Collision · Network Map</w:t>
            </w:r>
          </w:p>
        </w:tc>
      </w:tr>
      <w:tr>
        <w:tc>
          <w:tcPr>
            <w:tcW w:type="dxa" w:w="14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Phase 4</w:t>
            </w:r>
          </w:p>
        </w:tc>
        <w:tc>
          <w:tcPr>
            <w:tcW w:type="dxa" w:w="12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Weeks 40–52</w:t>
            </w:r>
          </w:p>
        </w:tc>
        <w:tc>
          <w:tcPr>
            <w:tcW w:type="dxa" w:w="14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2C5F2E"/>
                <w:sz w:val="17"/>
                <w:szCs w:val="17"/>
              </w:rPr>
              <w:t xml:space="preserve">Pillar 10</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Leadership</w:t>
            </w:r>
          </w:p>
        </w:tc>
        <w:tc>
          <w:tcPr>
            <w:tcW w:type="dxa" w:w="42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Mentor Map · Delegation · Legacy Audit · Integrity Check · Year-End Review</w:t>
            </w:r>
          </w:p>
        </w:tc>
      </w:tr>
    </w:tbl>
    <w:p>
      <w:pPr>
        <w:spacing w:after="320" w:before="0"/>
      </w:pPr>
    </w:p>
    <w:p>
      <w:pPr>
        <w:spacing w:after="90" w:before="240"/>
      </w:pPr>
      <w:r>
        <w:rPr>
          <w:rFonts w:ascii="Arial" w:cs="Arial" w:eastAsia="Arial" w:hAnsi="Arial"/>
          <w:b/>
          <w:bCs/>
          <w:color w:val="1F3864"/>
          <w:sz w:val="22"/>
          <w:szCs w:val="22"/>
        </w:rPr>
        <w:t xml:space="preserve">The Ten Pillars</w:t>
      </w:r>
    </w:p>
    <w:p>
      <w:pPr>
        <w:spacing w:after="160" w:before="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
        <w:gridCol w:w="2200"/>
        <w:gridCol w:w="1400"/>
        <w:gridCol w:w="5700"/>
      </w:tblGrid>
      <w:tr>
        <w:tc>
          <w:tcPr>
            <w:tcW w:type="dxa" w:w="5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No.</w:t>
            </w:r>
          </w:p>
        </w:tc>
        <w:tc>
          <w:tcPr>
            <w:tcW w:type="dxa" w:w="22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Pillar</w:t>
            </w:r>
          </w:p>
        </w:tc>
        <w:tc>
          <w:tcPr>
            <w:tcW w:type="dxa" w:w="14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Weeks</w:t>
            </w:r>
          </w:p>
        </w:tc>
        <w:tc>
          <w:tcPr>
            <w:tcW w:type="dxa" w:w="57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Description</w:t>
            </w:r>
          </w:p>
        </w:tc>
      </w:tr>
      <w:tr>
        <w:tc>
          <w:tcPr>
            <w:tcW w:type="dxa" w:w="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B8860B"/>
                <w:sz w:val="17"/>
                <w:szCs w:val="17"/>
              </w:rPr>
              <w:t xml:space="preserve">0</w:t>
            </w:r>
          </w:p>
        </w:tc>
        <w:tc>
          <w:tcPr>
            <w:tcW w:type="dxa" w:w="22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Box Breathing</w:t>
            </w:r>
          </w:p>
        </w:tc>
        <w:tc>
          <w:tcPr>
            <w:tcW w:type="dxa" w:w="1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888888"/>
                <w:sz w:val="16"/>
                <w:szCs w:val="16"/>
              </w:rPr>
              <w:t xml:space="preserve">All 52 weeks</w:t>
            </w:r>
          </w:p>
        </w:tc>
        <w:tc>
          <w:tcPr>
            <w:tcW w:type="dxa" w:w="57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A daily emotional regulation practice — 4-4-4-4 breath cycle, 3 cycles minimum, before every home challenge. Builds the calm required for sustained creative and analytical work.</w:t>
            </w:r>
          </w:p>
        </w:tc>
      </w:tr>
      <w:tr>
        <w:tc>
          <w:tcPr>
            <w:tcW w:type="dxa" w:w="5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B8860B"/>
                <w:sz w:val="17"/>
                <w:szCs w:val="17"/>
              </w:rPr>
              <w:t xml:space="preserve">1</w:t>
            </w:r>
          </w:p>
        </w:tc>
        <w:tc>
          <w:tcPr>
            <w:tcW w:type="dxa" w:w="22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Start at Home</w:t>
            </w:r>
          </w:p>
        </w:tc>
        <w:tc>
          <w:tcPr>
            <w:tcW w:type="dxa" w:w="14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888888"/>
                <w:sz w:val="16"/>
                <w:szCs w:val="16"/>
              </w:rPr>
              <w:t xml:space="preserve">Weeks 1–6</w:t>
            </w:r>
          </w:p>
        </w:tc>
        <w:tc>
          <w:tcPr>
            <w:tcW w:type="dxa" w:w="57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coaching switch — parents shift from giving answers to asking questions: "What do you think? What have you tried? What's stopping you?" Builds self-directed thinking.</w:t>
            </w:r>
          </w:p>
        </w:tc>
      </w:tr>
      <w:tr>
        <w:tc>
          <w:tcPr>
            <w:tcW w:type="dxa" w:w="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B8860B"/>
                <w:sz w:val="17"/>
                <w:szCs w:val="17"/>
              </w:rPr>
              <w:t xml:space="preserve">2</w:t>
            </w:r>
          </w:p>
        </w:tc>
        <w:tc>
          <w:tcPr>
            <w:tcW w:type="dxa" w:w="22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Start Early, But Naturally</w:t>
            </w:r>
          </w:p>
        </w:tc>
        <w:tc>
          <w:tcPr>
            <w:tcW w:type="dxa" w:w="1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888888"/>
                <w:sz w:val="16"/>
                <w:szCs w:val="16"/>
              </w:rPr>
              <w:t xml:space="preserve">Weeks 4–6</w:t>
            </w:r>
          </w:p>
        </w:tc>
        <w:tc>
          <w:tcPr>
            <w:tcW w:type="dxa" w:w="57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developmental window between ages 8 and 12. Entrepreneurial character can be built at any age — the earlier, the less effort it requires.</w:t>
            </w:r>
          </w:p>
        </w:tc>
      </w:tr>
      <w:tr>
        <w:tc>
          <w:tcPr>
            <w:tcW w:type="dxa" w:w="5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B8860B"/>
                <w:sz w:val="17"/>
                <w:szCs w:val="17"/>
              </w:rPr>
              <w:t xml:space="preserve">3</w:t>
            </w:r>
          </w:p>
        </w:tc>
        <w:tc>
          <w:tcPr>
            <w:tcW w:type="dxa" w:w="22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Build the Right Mindset First</w:t>
            </w:r>
          </w:p>
        </w:tc>
        <w:tc>
          <w:tcPr>
            <w:tcW w:type="dxa" w:w="14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888888"/>
                <w:sz w:val="16"/>
                <w:szCs w:val="16"/>
              </w:rPr>
              <w:t xml:space="preserve">Weeks 7–10</w:t>
            </w:r>
          </w:p>
        </w:tc>
        <w:tc>
          <w:tcPr>
            <w:tcW w:type="dxa" w:w="57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Curiosity, resilience, calm, and patience. Books over screens. The daily practice of learning something new. Willpower as a trained capacity.</w:t>
            </w:r>
          </w:p>
        </w:tc>
      </w:tr>
      <w:tr>
        <w:tc>
          <w:tcPr>
            <w:tcW w:type="dxa" w:w="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B8860B"/>
                <w:sz w:val="17"/>
                <w:szCs w:val="17"/>
              </w:rPr>
              <w:t xml:space="preserve">4</w:t>
            </w:r>
          </w:p>
        </w:tc>
        <w:tc>
          <w:tcPr>
            <w:tcW w:type="dxa" w:w="22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Action Over Theory</w:t>
            </w:r>
          </w:p>
        </w:tc>
        <w:tc>
          <w:tcPr>
            <w:tcW w:type="dxa" w:w="1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888888"/>
                <w:sz w:val="16"/>
                <w:szCs w:val="16"/>
              </w:rPr>
              <w:t xml:space="preserve">Weeks 11–13</w:t>
            </w:r>
          </w:p>
        </w:tc>
        <w:tc>
          <w:tcPr>
            <w:tcW w:type="dxa" w:w="57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experiment mindset. The first step. The knock on the door. The Experiment Log. Planning is thinking about doing; doing is doing.</w:t>
            </w:r>
          </w:p>
        </w:tc>
      </w:tr>
      <w:tr>
        <w:tc>
          <w:tcPr>
            <w:tcW w:type="dxa" w:w="5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B8860B"/>
                <w:sz w:val="17"/>
                <w:szCs w:val="17"/>
              </w:rPr>
              <w:t xml:space="preserve">5</w:t>
            </w:r>
          </w:p>
        </w:tc>
        <w:tc>
          <w:tcPr>
            <w:tcW w:type="dxa" w:w="22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Financial Literacy</w:t>
            </w:r>
          </w:p>
        </w:tc>
        <w:tc>
          <w:tcPr>
            <w:tcW w:type="dxa" w:w="14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888888"/>
                <w:sz w:val="16"/>
                <w:szCs w:val="16"/>
              </w:rPr>
              <w:t xml:space="preserve">Weeks 14–17</w:t>
            </w:r>
          </w:p>
        </w:tc>
        <w:tc>
          <w:tcPr>
            <w:tcW w:type="dxa" w:w="57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Four Jars: Earn (60%), Save (20%), Invest (10%), Give (10%). Price vs value. The Micro-Business Plan. Confidence Pricing.</w:t>
            </w:r>
          </w:p>
        </w:tc>
      </w:tr>
      <w:tr>
        <w:tc>
          <w:tcPr>
            <w:tcW w:type="dxa" w:w="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B8860B"/>
                <w:sz w:val="17"/>
                <w:szCs w:val="17"/>
              </w:rPr>
              <w:t xml:space="preserve">6</w:t>
            </w:r>
          </w:p>
        </w:tc>
        <w:tc>
          <w:tcPr>
            <w:tcW w:type="dxa" w:w="22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Analytical Thinking</w:t>
            </w:r>
          </w:p>
        </w:tc>
        <w:tc>
          <w:tcPr>
            <w:tcW w:type="dxa" w:w="1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888888"/>
                <w:sz w:val="16"/>
                <w:szCs w:val="16"/>
              </w:rPr>
              <w:t xml:space="preserve">Weeks 18–22</w:t>
            </w:r>
          </w:p>
        </w:tc>
        <w:tc>
          <w:tcPr>
            <w:tcW w:type="dxa" w:w="57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Three Questions: What works? What doesn't? What could be better? The Opportunity Walk. Customer Feedback. The Study Audit.</w:t>
            </w:r>
          </w:p>
        </w:tc>
      </w:tr>
      <w:tr>
        <w:tc>
          <w:tcPr>
            <w:tcW w:type="dxa" w:w="5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B8860B"/>
                <w:sz w:val="17"/>
                <w:szCs w:val="17"/>
              </w:rPr>
              <w:t xml:space="preserve">7</w:t>
            </w:r>
          </w:p>
        </w:tc>
        <w:tc>
          <w:tcPr>
            <w:tcW w:type="dxa" w:w="22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Organisational Skills</w:t>
            </w:r>
          </w:p>
        </w:tc>
        <w:tc>
          <w:tcPr>
            <w:tcW w:type="dxa" w:w="14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888888"/>
                <w:sz w:val="16"/>
                <w:szCs w:val="16"/>
              </w:rPr>
              <w:t xml:space="preserve">Weeks 23–25</w:t>
            </w:r>
          </w:p>
        </w:tc>
        <w:tc>
          <w:tcPr>
            <w:tcW w:type="dxa" w:w="57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Time Audit. Deadline Table with the self-imposed Priya Rule. Priority Matrix (Q1–Q4). Academics always first.</w:t>
            </w:r>
          </w:p>
        </w:tc>
      </w:tr>
      <w:tr>
        <w:tc>
          <w:tcPr>
            <w:tcW w:type="dxa" w:w="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B8860B"/>
                <w:sz w:val="17"/>
                <w:szCs w:val="17"/>
              </w:rPr>
              <w:t xml:space="preserve">8</w:t>
            </w:r>
          </w:p>
        </w:tc>
        <w:tc>
          <w:tcPr>
            <w:tcW w:type="dxa" w:w="22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Communication &amp; Execution</w:t>
            </w:r>
          </w:p>
        </w:tc>
        <w:tc>
          <w:tcPr>
            <w:tcW w:type="dxa" w:w="1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888888"/>
                <w:sz w:val="16"/>
                <w:szCs w:val="16"/>
              </w:rPr>
              <w:t xml:space="preserve">Weeks 27–34</w:t>
            </w:r>
          </w:p>
        </w:tc>
        <w:tc>
          <w:tcPr>
            <w:tcW w:type="dxa" w:w="57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Five-Part Pitch. Active Listening. Business Story. Follow-Through Table. The Objection Table. No Journal. The Big Ask.</w:t>
            </w:r>
          </w:p>
        </w:tc>
      </w:tr>
      <w:tr>
        <w:tc>
          <w:tcPr>
            <w:tcW w:type="dxa" w:w="5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B8860B"/>
                <w:sz w:val="17"/>
                <w:szCs w:val="17"/>
              </w:rPr>
              <w:t xml:space="preserve">9</w:t>
            </w:r>
          </w:p>
        </w:tc>
        <w:tc>
          <w:tcPr>
            <w:tcW w:type="dxa" w:w="22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Creativity, Innovation &amp; Networks</w:t>
            </w:r>
          </w:p>
        </w:tc>
        <w:tc>
          <w:tcPr>
            <w:tcW w:type="dxa" w:w="14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888888"/>
                <w:sz w:val="16"/>
                <w:szCs w:val="16"/>
              </w:rPr>
              <w:t xml:space="preserve">Weeks 35–38</w:t>
            </w:r>
          </w:p>
        </w:tc>
        <w:tc>
          <w:tcPr>
            <w:tcW w:type="dxa" w:w="57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Idea Collision Method. Stranger Test. Network Map (4 rings). Collaboration Protocol.</w:t>
            </w:r>
          </w:p>
        </w:tc>
      </w:tr>
      <w:tr>
        <w:tc>
          <w:tcPr>
            <w:tcW w:type="dxa" w:w="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B8860B"/>
                <w:sz w:val="17"/>
                <w:szCs w:val="17"/>
              </w:rPr>
              <w:t xml:space="preserve">10</w:t>
            </w:r>
          </w:p>
        </w:tc>
        <w:tc>
          <w:tcPr>
            <w:tcW w:type="dxa" w:w="22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Leadership Through Collaboration</w:t>
            </w:r>
          </w:p>
        </w:tc>
        <w:tc>
          <w:tcPr>
            <w:tcW w:type="dxa" w:w="1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888888"/>
                <w:sz w:val="16"/>
                <w:szCs w:val="16"/>
              </w:rPr>
              <w:t xml:space="preserve">Weeks 40–52</w:t>
            </w:r>
          </w:p>
        </w:tc>
        <w:tc>
          <w:tcPr>
            <w:tcW w:type="dxa" w:w="57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Mentor Map. Delegation Charter. Legacy Audit. Setback Debrief. Influence Map. Team Agreement. Feedback Frame. Integrity Check. Decision Framework. Handover Protocol.</w:t>
            </w:r>
          </w:p>
        </w:tc>
      </w:tr>
    </w:tbl>
    <w:p>
      <w:pPr>
        <w:spacing w:after="40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2: IB LEARNER PROFILE ALIGNMENT</w:t>
            </w:r>
          </w:p>
        </w:tc>
      </w:tr>
      <w:tr>
        <w:tc>
          <w:tcPr>
            <w:tcW w:type="dxa" w:w="10080"/>
            <w:tcBorders>
              <w:top w:val="none"/>
              <w:left w:val="none"/>
              <w:bottom w:val="none"/>
              <w:right w:val="none"/>
            </w:tcBorders>
            <w:shd w:fill="1F3864" w:val="clear"/>
            <w:tcMar>
              <w:top w:type="dxa" w:w="0"/>
              <w:left w:type="dxa" w:w="240"/>
              <w:bottom w:type="dxa" w:w="140"/>
              <w:right w:type="dxa" w:w="240"/>
            </w:tcMar>
          </w:tcPr>
          <w:p>
            <w:pPr>
              <w:jc w:val="center"/>
            </w:pPr>
            <w:r>
              <w:rPr>
                <w:rFonts w:ascii="Arial" w:cs="Arial" w:eastAsia="Arial" w:hAnsi="Arial"/>
                <w:color w:val="BBCCDD"/>
                <w:sz w:val="17"/>
                <w:szCs w:val="17"/>
              </w:rPr>
              <w:t xml:space="preserve">All 10 Attributes · Primary and Secondary Alignments</w:t>
            </w:r>
          </w:p>
        </w:tc>
      </w:tr>
    </w:tbl>
    <w:p>
      <w:pPr>
        <w:spacing w:after="320" w:before="0"/>
      </w:pPr>
    </w:p>
    <w:p>
      <w:pPr>
        <w:spacing w:after="160" w:before="0" w:line="290" w:lineRule="auto"/>
        <w:jc w:val="both"/>
      </w:pPr>
      <w:r>
        <w:rPr>
          <w:rFonts w:ascii="Arial" w:cs="Arial" w:eastAsia="Arial" w:hAnsi="Arial"/>
          <w:b w:val="false"/>
          <w:bCs w:val="false"/>
          <w:i w:val="false"/>
          <w:iCs w:val="false"/>
          <w:color w:val="444444"/>
          <w:sz w:val="20"/>
          <w:szCs w:val="20"/>
        </w:rPr>
        <w:t xml:space="preserve">The IB Learner Profile describes the attributes and dispositions that IB World Schools seek to develop in students. The table below demonstrates how each attribute is directly addressed within the SimpleJoy | SaralAnand programme.</w:t>
      </w:r>
    </w:p>
    <w:p>
      <w:pPr>
        <w:spacing w:after="200" w:before="0"/>
      </w:pPr>
    </w:p>
    <w:tbl>
      <w:tblPr>
        <w:tblW w:type="dxa" w:w="11400"/>
        <w:tblBorders>
          <w:top w:val="single" w:color="auto" w:sz="4"/>
          <w:left w:val="single" w:color="auto" w:sz="4"/>
          <w:bottom w:val="single" w:color="auto" w:sz="4"/>
          <w:right w:val="single" w:color="auto" w:sz="4"/>
          <w:insideH w:val="single" w:color="auto" w:sz="4"/>
          <w:insideV w:val="single" w:color="auto" w:sz="4"/>
        </w:tblBorders>
      </w:tblPr>
      <w:tblGrid>
        <w:gridCol w:w="1500"/>
        <w:gridCol w:w="1500"/>
        <w:gridCol w:w="1800"/>
        <w:gridCol w:w="4800"/>
        <w:gridCol w:w="1800"/>
      </w:tblGrid>
      <w:tr>
        <w:tc>
          <w:tcPr>
            <w:tcW w:type="dxa" w:w="15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LP Attribute</w:t>
            </w:r>
          </w:p>
        </w:tc>
        <w:tc>
          <w:tcPr>
            <w:tcW w:type="dxa" w:w="15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IB Definition</w:t>
            </w:r>
          </w:p>
        </w:tc>
        <w:tc>
          <w:tcPr>
            <w:tcW w:type="dxa" w:w="18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Programme Pillar</w:t>
            </w:r>
          </w:p>
        </w:tc>
        <w:tc>
          <w:tcPr>
            <w:tcW w:type="dxa" w:w="48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How the Programme Addresses It</w:t>
            </w:r>
          </w:p>
        </w:tc>
        <w:tc>
          <w:tcPr>
            <w:tcW w:type="dxa" w:w="18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Key Weeks</w:t>
            </w:r>
          </w:p>
        </w:tc>
      </w:tr>
      <w:tr>
        <w:tc>
          <w:tcPr>
            <w:tcW w:type="dxa" w:w="1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Inquirers</w:t>
            </w:r>
          </w:p>
        </w:tc>
        <w:tc>
          <w:tcPr>
            <w:tcW w:type="dxa" w:w="1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Develop natural curiosity and the skills to inquire and research.</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5"/>
                <w:szCs w:val="15"/>
              </w:rPr>
              <w:t xml:space="preserve">Pillar 3
Build the Right Mindset First</w:t>
            </w:r>
          </w:p>
        </w:tc>
        <w:tc>
          <w:tcPr>
            <w:tcW w:type="dxa" w:w="4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Curiosity section of Pillar 3 directly develops inquiry skills. The Idea Notebook provides the research record. The noticing question is a weekly inquiry practice.</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Weeks 7–10, reinforced throughout</w:t>
            </w:r>
          </w:p>
        </w:tc>
      </w:tr>
      <w:tr>
        <w:tc>
          <w:tcPr>
            <w:tcW w:type="dxa" w:w="15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Knowledgeable</w:t>
            </w:r>
          </w:p>
        </w:tc>
        <w:tc>
          <w:tcPr>
            <w:tcW w:type="dxa" w:w="15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Explore concepts, ideas, and issues that have local and global significance.</w:t>
            </w:r>
          </w:p>
        </w:tc>
        <w:tc>
          <w:tcPr>
            <w:tcW w:type="dxa" w:w="18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5"/>
                <w:szCs w:val="15"/>
              </w:rPr>
              <w:t xml:space="preserve">Pillars 5–6
Financial Literacy + Analytical Thinking</w:t>
            </w:r>
          </w:p>
        </w:tc>
        <w:tc>
          <w:tcPr>
            <w:tcW w:type="dxa" w:w="48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Pillar 5 builds knowledge of economics and value. Pillar 6 applies analytical thinking to real-world observation. Both connect local family experience to global entrepreneurial concepts.</w:t>
            </w:r>
          </w:p>
        </w:tc>
        <w:tc>
          <w:tcPr>
            <w:tcW w:type="dxa" w:w="18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Weeks 14–22</w:t>
            </w:r>
          </w:p>
        </w:tc>
      </w:tr>
      <w:tr>
        <w:tc>
          <w:tcPr>
            <w:tcW w:type="dxa" w:w="1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Thinkers</w:t>
            </w:r>
          </w:p>
        </w:tc>
        <w:tc>
          <w:tcPr>
            <w:tcW w:type="dxa" w:w="1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Apply thinking skills critically and creatively to make reasoned, ethical decisions.</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5"/>
                <w:szCs w:val="15"/>
              </w:rPr>
              <w:t xml:space="preserve">Pillar 6
Think Like an Analyst</w:t>
            </w:r>
          </w:p>
        </w:tc>
        <w:tc>
          <w:tcPr>
            <w:tcW w:type="dxa" w:w="4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Three Questions framework (What works? What doesn't? What could be better?) is a direct critical thinking practice applied weekly to any context the student chooses.</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Weeks 18–22</w:t>
            </w:r>
          </w:p>
        </w:tc>
      </w:tr>
      <w:tr>
        <w:tc>
          <w:tcPr>
            <w:tcW w:type="dxa" w:w="15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Communicators</w:t>
            </w:r>
          </w:p>
        </w:tc>
        <w:tc>
          <w:tcPr>
            <w:tcW w:type="dxa" w:w="15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Understand and express ideas confidently in more than one language and mode.</w:t>
            </w:r>
          </w:p>
        </w:tc>
        <w:tc>
          <w:tcPr>
            <w:tcW w:type="dxa" w:w="18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5"/>
                <w:szCs w:val="15"/>
              </w:rPr>
              <w:t xml:space="preserve">Pillar 8
Communication, Selling and Execution</w:t>
            </w:r>
          </w:p>
        </w:tc>
        <w:tc>
          <w:tcPr>
            <w:tcW w:type="dxa" w:w="48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Five-Part Pitch, active listening practice, business storytelling, the No Journal, and the follow-through table all develop communication skills across multiple registers and purposes.</w:t>
            </w:r>
          </w:p>
        </w:tc>
        <w:tc>
          <w:tcPr>
            <w:tcW w:type="dxa" w:w="18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Weeks 27–34</w:t>
            </w:r>
          </w:p>
        </w:tc>
      </w:tr>
      <w:tr>
        <w:tc>
          <w:tcPr>
            <w:tcW w:type="dxa" w:w="1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Principled</w:t>
            </w:r>
          </w:p>
        </w:tc>
        <w:tc>
          <w:tcPr>
            <w:tcW w:type="dxa" w:w="1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Act with integrity and honesty, with a strong sense of fairness and justice.</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5"/>
                <w:szCs w:val="15"/>
              </w:rPr>
              <w:t xml:space="preserve">Pillar 10
Leadership Through Collaboration</w:t>
            </w:r>
          </w:p>
        </w:tc>
        <w:tc>
          <w:tcPr>
            <w:tcW w:type="dxa" w:w="4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Integrity Check tool, the Recognition Register, and the Fairness and Leadership section of Pillar 10 directly build principled leadership. The weekly pledge is a daily integrity practice.</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Weeks 48–52, daily pledge throughout</w:t>
            </w:r>
          </w:p>
        </w:tc>
      </w:tr>
      <w:tr>
        <w:tc>
          <w:tcPr>
            <w:tcW w:type="dxa" w:w="15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Open-minded</w:t>
            </w:r>
          </w:p>
        </w:tc>
        <w:tc>
          <w:tcPr>
            <w:tcW w:type="dxa" w:w="15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Appreciate cultures and perspectives other than their own.</w:t>
            </w:r>
          </w:p>
        </w:tc>
        <w:tc>
          <w:tcPr>
            <w:tcW w:type="dxa" w:w="18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5"/>
                <w:szCs w:val="15"/>
              </w:rPr>
              <w:t xml:space="preserve">Pillar 9
Creativity, Innovation and Networks</w:t>
            </w:r>
          </w:p>
        </w:tc>
        <w:tc>
          <w:tcPr>
            <w:tcW w:type="dxa" w:w="48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16-nation character constellation in the animated series embeds global perspective. The Network Map explicitly includes people who think differently as a creativity requirement.</w:t>
            </w:r>
          </w:p>
        </w:tc>
        <w:tc>
          <w:tcPr>
            <w:tcW w:type="dxa" w:w="18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Weeks 35–38</w:t>
            </w:r>
          </w:p>
        </w:tc>
      </w:tr>
      <w:tr>
        <w:tc>
          <w:tcPr>
            <w:tcW w:type="dxa" w:w="1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Caring</w:t>
            </w:r>
          </w:p>
        </w:tc>
        <w:tc>
          <w:tcPr>
            <w:tcW w:type="dxa" w:w="1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Show empathy, compassion, and respect. Make a positive difference in others' lives.</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5"/>
                <w:szCs w:val="15"/>
              </w:rPr>
              <w:t xml:space="preserve">Pillar 5 + Pillar 10
Financial Literacy + Leadership</w:t>
            </w:r>
          </w:p>
        </w:tc>
        <w:tc>
          <w:tcPr>
            <w:tcW w:type="dxa" w:w="4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Give Jar (Pillar 5) establishes giving as a structural financial practice. The Mentor Map (Pillar 10) requires students to identify and develop others. Both build caring as a practice, not a value statement.</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Weeks 16, 40–47</w:t>
            </w:r>
          </w:p>
        </w:tc>
      </w:tr>
      <w:tr>
        <w:tc>
          <w:tcPr>
            <w:tcW w:type="dxa" w:w="15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Risk-takers</w:t>
            </w:r>
          </w:p>
        </w:tc>
        <w:tc>
          <w:tcPr>
            <w:tcW w:type="dxa" w:w="15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Approach uncertainty with forethought and determination; explore new roles and ideas.</w:t>
            </w:r>
          </w:p>
        </w:tc>
        <w:tc>
          <w:tcPr>
            <w:tcW w:type="dxa" w:w="18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5"/>
                <w:szCs w:val="15"/>
              </w:rPr>
              <w:t xml:space="preserve">Pillar 4
Action Over Theory</w:t>
            </w:r>
          </w:p>
        </w:tc>
        <w:tc>
          <w:tcPr>
            <w:tcW w:type="dxa" w:w="48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Pillar 4 is entirely about calculated risk-taking — the experiment mindset, the first knock on the door, the three-day experiment. The Experiment Log records what was risked and what was learned.</w:t>
            </w:r>
          </w:p>
        </w:tc>
        <w:tc>
          <w:tcPr>
            <w:tcW w:type="dxa" w:w="18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Weeks 11–13</w:t>
            </w:r>
          </w:p>
        </w:tc>
      </w:tr>
      <w:tr>
        <w:tc>
          <w:tcPr>
            <w:tcW w:type="dxa" w:w="1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Balanced</w:t>
            </w:r>
          </w:p>
        </w:tc>
        <w:tc>
          <w:tcPr>
            <w:tcW w:type="dxa" w:w="15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Understand the importance of balancing intellectual, physical, and emotional well-being.</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5"/>
                <w:szCs w:val="15"/>
              </w:rPr>
              <w:t xml:space="preserve">Pillar 3 + Pillar 7
Mindset + Organisational Skills</w:t>
            </w:r>
          </w:p>
        </w:tc>
        <w:tc>
          <w:tcPr>
            <w:tcW w:type="dxa" w:w="4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Box Breathing (Pillar 0) and Calm (Pillar 3) address emotional regulation. Pillar 7's Time Audit and Priority Matrix address the balance between academic priorities and entrepreneurial practice. Academics always come first.</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All 52 weeks (Box Breathing), Weeks 23–25 (Time)</w:t>
            </w:r>
          </w:p>
        </w:tc>
      </w:tr>
      <w:tr>
        <w:tc>
          <w:tcPr>
            <w:tcW w:type="dxa" w:w="15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Reflective</w:t>
            </w:r>
          </w:p>
        </w:tc>
        <w:tc>
          <w:tcPr>
            <w:tcW w:type="dxa" w:w="15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Give thoughtful consideration to their own learning and experience.</w:t>
            </w:r>
          </w:p>
        </w:tc>
        <w:tc>
          <w:tcPr>
            <w:tcW w:type="dxa" w:w="18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5"/>
                <w:szCs w:val="15"/>
              </w:rPr>
              <w:t xml:space="preserve">Pillar 6
Think Like an Analyst</w:t>
            </w:r>
          </w:p>
        </w:tc>
        <w:tc>
          <w:tcPr>
            <w:tcW w:type="dxa" w:w="48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Three Questions applied to the student's own learning is a structured reflection practice. Phase Reviews at Weeks 13, 26, 39, and 52 are formal reflective milestones. The Idea Notebook is a permanent reflection record.</w:t>
            </w:r>
          </w:p>
        </w:tc>
        <w:tc>
          <w:tcPr>
            <w:tcW w:type="dxa" w:w="18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Weeks 18–22, Reviews at 13/26/39/52</w:t>
            </w:r>
          </w:p>
        </w:tc>
      </w:tr>
    </w:tbl>
    <w:p>
      <w:pPr>
        <w:spacing w:after="40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3: IB APPROACHES TO LEARNING (ATL) ALIGNMENT</w:t>
            </w:r>
          </w:p>
        </w:tc>
      </w:tr>
      <w:tr>
        <w:tc>
          <w:tcPr>
            <w:tcW w:type="dxa" w:w="10080"/>
            <w:tcBorders>
              <w:top w:val="none"/>
              <w:left w:val="none"/>
              <w:bottom w:val="none"/>
              <w:right w:val="none"/>
            </w:tcBorders>
            <w:shd w:fill="1F3864" w:val="clear"/>
            <w:tcMar>
              <w:top w:type="dxa" w:w="0"/>
              <w:left w:type="dxa" w:w="240"/>
              <w:bottom w:type="dxa" w:w="140"/>
              <w:right w:type="dxa" w:w="240"/>
            </w:tcMar>
          </w:tcPr>
          <w:p>
            <w:pPr>
              <w:jc w:val="center"/>
            </w:pPr>
            <w:r>
              <w:rPr>
                <w:rFonts w:ascii="Arial" w:cs="Arial" w:eastAsia="Arial" w:hAnsi="Arial"/>
                <w:color w:val="BBCCDD"/>
                <w:sz w:val="17"/>
                <w:szCs w:val="17"/>
              </w:rPr>
              <w:t xml:space="preserve">All 5 ATL Skill Categories · Programme Tools and Practices</w:t>
            </w:r>
          </w:p>
        </w:tc>
      </w:tr>
    </w:tbl>
    <w:p>
      <w:pPr>
        <w:spacing w:after="320" w:before="0"/>
      </w:pPr>
    </w:p>
    <w:p>
      <w:pPr>
        <w:spacing w:after="160" w:before="0" w:line="290" w:lineRule="auto"/>
        <w:jc w:val="both"/>
      </w:pPr>
      <w:r>
        <w:rPr>
          <w:rFonts w:ascii="Arial" w:cs="Arial" w:eastAsia="Arial" w:hAnsi="Arial"/>
          <w:b w:val="false"/>
          <w:bCs w:val="false"/>
          <w:i w:val="false"/>
          <w:iCs w:val="false"/>
          <w:color w:val="444444"/>
          <w:sz w:val="20"/>
          <w:szCs w:val="20"/>
        </w:rPr>
        <w:t xml:space="preserve">The IB Approaches to Learning (ATL) framework identifies five broad skill categories that run across all IB programmes. The table below maps each ATL category to the specific tools and practices within SimpleJoy | SaralAnand.</w:t>
      </w:r>
    </w:p>
    <w:p>
      <w:pPr>
        <w:spacing w:after="200" w:before="0"/>
      </w:pPr>
    </w:p>
    <w:tbl>
      <w:tblPr>
        <w:tblW w:type="dxa" w:w="10400"/>
        <w:tblBorders>
          <w:top w:val="single" w:color="auto" w:sz="4"/>
          <w:left w:val="single" w:color="auto" w:sz="4"/>
          <w:bottom w:val="single" w:color="auto" w:sz="4"/>
          <w:right w:val="single" w:color="auto" w:sz="4"/>
          <w:insideH w:val="single" w:color="auto" w:sz="4"/>
          <w:insideV w:val="single" w:color="auto" w:sz="4"/>
        </w:tblBorders>
      </w:tblPr>
      <w:tblGrid>
        <w:gridCol w:w="1800"/>
        <w:gridCol w:w="2000"/>
        <w:gridCol w:w="2200"/>
        <w:gridCol w:w="2600"/>
        <w:gridCol w:w="1800"/>
      </w:tblGrid>
      <w:tr>
        <w:tc>
          <w:tcPr>
            <w:tcW w:type="dxa" w:w="18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ATL Category</w:t>
            </w:r>
          </w:p>
        </w:tc>
        <w:tc>
          <w:tcPr>
            <w:tcW w:type="dxa" w:w="20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Sub-skills</w:t>
            </w:r>
          </w:p>
        </w:tc>
        <w:tc>
          <w:tcPr>
            <w:tcW w:type="dxa" w:w="22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Programme Pillars</w:t>
            </w:r>
          </w:p>
        </w:tc>
        <w:tc>
          <w:tcPr>
            <w:tcW w:type="dxa" w:w="26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Description</w:t>
            </w:r>
          </w:p>
        </w:tc>
        <w:tc>
          <w:tcPr>
            <w:tcW w:type="dxa" w:w="18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Key Tools</w:t>
            </w:r>
          </w:p>
        </w:tc>
      </w:tr>
      <w:tr>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Thinking Skills</w:t>
            </w:r>
          </w:p>
        </w:tc>
        <w:tc>
          <w:tcPr>
            <w:tcW w:type="dxa" w:w="2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Critical thinking · Creative thinking · Transfer</w:t>
            </w:r>
          </w:p>
        </w:tc>
        <w:tc>
          <w:tcPr>
            <w:tcW w:type="dxa" w:w="22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5"/>
                <w:szCs w:val="15"/>
              </w:rPr>
              <w:t xml:space="preserve">Pillars 3, 6, 9</w:t>
            </w:r>
          </w:p>
        </w:tc>
        <w:tc>
          <w:tcPr>
            <w:tcW w:type="dxa" w:w="2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Pillar 3 builds the curiosity that enables thinking. Pillar 6's Three Questions is a structured critical thinking tool. Pillar 9's Idea Collision Method is a creative thinking practice. The experiment mindset (Pillar 4) requires transfer of analytical skills across contexts.</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Idea Notebook · Three Questions · Experiment Log · Idea Collision Method</w:t>
            </w:r>
          </w:p>
        </w:tc>
      </w:tr>
      <w:tr>
        <w:tc>
          <w:tcPr>
            <w:tcW w:type="dxa" w:w="1800"/>
            <w:tcBorders>
              <w:top w:val="single" w:color="CCCCCC" w:sz="2"/>
              <w:left w:val="single" w:color="CCCCCC" w:sz="2"/>
              <w:bottom w:val="single" w:color="CCCCCC" w:sz="2"/>
              <w:right w:val="single" w:color="CCCCCC" w:sz="2"/>
            </w:tcBorders>
            <w:shd w:fill="EAF0FA"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Communication Skills</w:t>
            </w:r>
          </w:p>
        </w:tc>
        <w:tc>
          <w:tcPr>
            <w:tcW w:type="dxa" w:w="2000"/>
            <w:tcBorders>
              <w:top w:val="single" w:color="CCCCCC" w:sz="2"/>
              <w:left w:val="single" w:color="CCCCCC" w:sz="2"/>
              <w:bottom w:val="single" w:color="CCCCCC" w:sz="2"/>
              <w:right w:val="single" w:color="CCCCCC" w:sz="2"/>
            </w:tcBorders>
            <w:shd w:fill="EAF0FA"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Exchanging information · Literacy · Using language</w:t>
            </w:r>
          </w:p>
        </w:tc>
        <w:tc>
          <w:tcPr>
            <w:tcW w:type="dxa" w:w="2200"/>
            <w:tcBorders>
              <w:top w:val="single" w:color="CCCCCC" w:sz="2"/>
              <w:left w:val="single" w:color="CCCCCC" w:sz="2"/>
              <w:bottom w:val="single" w:color="CCCCCC" w:sz="2"/>
              <w:right w:val="single" w:color="CCCCCC" w:sz="2"/>
            </w:tcBorders>
            <w:shd w:fill="EAF0FA"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5"/>
                <w:szCs w:val="15"/>
              </w:rPr>
              <w:t xml:space="preserve">Pillar 8</w:t>
            </w:r>
          </w:p>
        </w:tc>
        <w:tc>
          <w:tcPr>
            <w:tcW w:type="dxa" w:w="2600"/>
            <w:tcBorders>
              <w:top w:val="single" w:color="CCCCCC" w:sz="2"/>
              <w:left w:val="single" w:color="CCCCCC" w:sz="2"/>
              <w:bottom w:val="single" w:color="CCCCCC" w:sz="2"/>
              <w:right w:val="single" w:color="CCCCCC" w:sz="2"/>
            </w:tcBorders>
            <w:shd w:fill="EAF0FA"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Five-Part Pitch develops structured verbal communication. Active Listening builds receptive communication. The Business Story develops narrative communication. The No Journal develops written reflective communication. All are practiced in real contexts, not hypothetical exercises.</w:t>
            </w:r>
          </w:p>
        </w:tc>
        <w:tc>
          <w:tcPr>
            <w:tcW w:type="dxa" w:w="1800"/>
            <w:tcBorders>
              <w:top w:val="single" w:color="CCCCCC" w:sz="2"/>
              <w:left w:val="single" w:color="CCCCCC" w:sz="2"/>
              <w:bottom w:val="single" w:color="CCCCCC" w:sz="2"/>
              <w:right w:val="single" w:color="CCCCCC" w:sz="2"/>
            </w:tcBorders>
            <w:shd w:fill="EAF0FA"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Five-Part Pitch · Active Listening Table · Business Story Structure · No Journal</w:t>
            </w:r>
          </w:p>
        </w:tc>
      </w:tr>
      <w:tr>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Social Skills</w:t>
            </w:r>
          </w:p>
        </w:tc>
        <w:tc>
          <w:tcPr>
            <w:tcW w:type="dxa" w:w="2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Collaboration · Listening · Conflict resolution · Leadership</w:t>
            </w:r>
          </w:p>
        </w:tc>
        <w:tc>
          <w:tcPr>
            <w:tcW w:type="dxa" w:w="22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5"/>
                <w:szCs w:val="15"/>
              </w:rPr>
              <w:t xml:space="preserve">Pillars 1, 10</w:t>
            </w:r>
          </w:p>
        </w:tc>
        <w:tc>
          <w:tcPr>
            <w:tcW w:type="dxa" w:w="2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Pillar 1's coaching switch builds collaborative relationships between parent and child. Pillar 10's Team Agreement, Delegation Charter, and Feedback Frame develop all core social skills. The Collaboration Protocol (Week 38) is a direct social skills practice.</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Coaching Switch · Team Agreement · Delegation Charter · Feedback Frame · Collaboration Protocol</w:t>
            </w:r>
          </w:p>
        </w:tc>
      </w:tr>
      <w:tr>
        <w:tc>
          <w:tcPr>
            <w:tcW w:type="dxa" w:w="1800"/>
            <w:tcBorders>
              <w:top w:val="single" w:color="CCCCCC" w:sz="2"/>
              <w:left w:val="single" w:color="CCCCCC" w:sz="2"/>
              <w:bottom w:val="single" w:color="CCCCCC" w:sz="2"/>
              <w:right w:val="single" w:color="CCCCCC" w:sz="2"/>
            </w:tcBorders>
            <w:shd w:fill="EAF0FA"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Self-management Skills</w:t>
            </w:r>
          </w:p>
        </w:tc>
        <w:tc>
          <w:tcPr>
            <w:tcW w:type="dxa" w:w="2000"/>
            <w:tcBorders>
              <w:top w:val="single" w:color="CCCCCC" w:sz="2"/>
              <w:left w:val="single" w:color="CCCCCC" w:sz="2"/>
              <w:bottom w:val="single" w:color="CCCCCC" w:sz="2"/>
              <w:right w:val="single" w:color="CCCCCC" w:sz="2"/>
            </w:tcBorders>
            <w:shd w:fill="EAF0FA"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Organisation · States of mind · Reflection</w:t>
            </w:r>
          </w:p>
        </w:tc>
        <w:tc>
          <w:tcPr>
            <w:tcW w:type="dxa" w:w="2200"/>
            <w:tcBorders>
              <w:top w:val="single" w:color="CCCCCC" w:sz="2"/>
              <w:left w:val="single" w:color="CCCCCC" w:sz="2"/>
              <w:bottom w:val="single" w:color="CCCCCC" w:sz="2"/>
              <w:right w:val="single" w:color="CCCCCC" w:sz="2"/>
            </w:tcBorders>
            <w:shd w:fill="EAF0FA"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5"/>
                <w:szCs w:val="15"/>
              </w:rPr>
              <w:t xml:space="preserve">Pillars 3, 7</w:t>
            </w:r>
          </w:p>
        </w:tc>
        <w:tc>
          <w:tcPr>
            <w:tcW w:type="dxa" w:w="2600"/>
            <w:tcBorders>
              <w:top w:val="single" w:color="CCCCCC" w:sz="2"/>
              <w:left w:val="single" w:color="CCCCCC" w:sz="2"/>
              <w:bottom w:val="single" w:color="CCCCCC" w:sz="2"/>
              <w:right w:val="single" w:color="CCCCCC" w:sz="2"/>
            </w:tcBorders>
            <w:shd w:fill="EAF0FA"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Box Breathing (Pillar 0) and Calm (Pillar 3) develop emotional self-management. Pillar 7's Time Audit, Deadline Table, and Priority Matrix develop organisational self-management. The weekly pledge is a daily self-management commitment.</w:t>
            </w:r>
          </w:p>
        </w:tc>
        <w:tc>
          <w:tcPr>
            <w:tcW w:type="dxa" w:w="1800"/>
            <w:tcBorders>
              <w:top w:val="single" w:color="CCCCCC" w:sz="2"/>
              <w:left w:val="single" w:color="CCCCCC" w:sz="2"/>
              <w:bottom w:val="single" w:color="CCCCCC" w:sz="2"/>
              <w:right w:val="single" w:color="CCCCCC" w:sz="2"/>
            </w:tcBorders>
            <w:shd w:fill="EAF0FA"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Box Breathing · Time Audit · Deadline Table · Priority Matrix · Weekly Pledge</w:t>
            </w:r>
          </w:p>
        </w:tc>
      </w:tr>
      <w:tr>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Research Skills</w:t>
            </w:r>
          </w:p>
        </w:tc>
        <w:tc>
          <w:tcPr>
            <w:tcW w:type="dxa" w:w="2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Information literacy · Media literacy · Ethical use of information</w:t>
            </w:r>
          </w:p>
        </w:tc>
        <w:tc>
          <w:tcPr>
            <w:tcW w:type="dxa" w:w="22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5"/>
                <w:szCs w:val="15"/>
              </w:rPr>
              <w:t xml:space="preserve">Pillars 3, 6</w:t>
            </w:r>
          </w:p>
        </w:tc>
        <w:tc>
          <w:tcPr>
            <w:tcW w:type="dxa" w:w="2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Idea Notebook is a permanent research record. Pillar 6's Opportunity Walk and Customer Feedback Protocol are primary research methods. The Stranger Test applies critical evaluation to ideas. The programme emphasises books over screens as research sources.</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Idea Notebook · Opportunity Walk · Customer Feedback Protocol · Stranger Test</w:t>
            </w:r>
          </w:p>
        </w:tc>
      </w:tr>
    </w:tbl>
    <w:p>
      <w:pPr>
        <w:spacing w:after="40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4: PYP TRANSDISCIPLINARY THEME ALIGNMENT</w:t>
            </w:r>
          </w:p>
        </w:tc>
      </w:tr>
      <w:tr>
        <w:tc>
          <w:tcPr>
            <w:tcW w:type="dxa" w:w="10080"/>
            <w:tcBorders>
              <w:top w:val="none"/>
              <w:left w:val="none"/>
              <w:bottom w:val="none"/>
              <w:right w:val="none"/>
            </w:tcBorders>
            <w:shd w:fill="1F3864" w:val="clear"/>
            <w:tcMar>
              <w:top w:type="dxa" w:w="0"/>
              <w:left w:type="dxa" w:w="240"/>
              <w:bottom w:type="dxa" w:w="140"/>
              <w:right w:type="dxa" w:w="240"/>
            </w:tcMar>
          </w:tcPr>
          <w:p>
            <w:pPr>
              <w:jc w:val="center"/>
            </w:pPr>
            <w:r>
              <w:rPr>
                <w:rFonts w:ascii="Arial" w:cs="Arial" w:eastAsia="Arial" w:hAnsi="Arial"/>
                <w:color w:val="BBCCDD"/>
                <w:sz w:val="17"/>
                <w:szCs w:val="17"/>
              </w:rPr>
              <w:t xml:space="preserve">All 6 PYP Themes · Primary Years Programme Ages 3–12</w:t>
            </w:r>
          </w:p>
        </w:tc>
      </w:tr>
    </w:tbl>
    <w:p>
      <w:pPr>
        <w:spacing w:after="320" w:before="0"/>
      </w:pPr>
    </w:p>
    <w:p>
      <w:pPr>
        <w:spacing w:after="160" w:before="0" w:line="290" w:lineRule="auto"/>
        <w:jc w:val="both"/>
      </w:pPr>
      <w:r>
        <w:rPr>
          <w:rFonts w:ascii="Arial" w:cs="Arial" w:eastAsia="Arial" w:hAnsi="Arial"/>
          <w:b w:val="false"/>
          <w:bCs w:val="false"/>
          <w:i w:val="false"/>
          <w:iCs w:val="false"/>
          <w:color w:val="444444"/>
          <w:sz w:val="20"/>
          <w:szCs w:val="20"/>
        </w:rPr>
        <w:t xml:space="preserve">The PYP is organised around six transdisciplinary themes that provide a framework for structured inquiry. The table below shows how the SimpleJoy | SaralAnand programme reinforces each theme through its weekly content and home challenges.</w:t>
      </w:r>
    </w:p>
    <w:p>
      <w:pPr>
        <w:spacing w:after="200" w:before="0"/>
      </w:pPr>
    </w:p>
    <w:tbl>
      <w:tblPr>
        <w:tblW w:type="dxa" w:w="10400"/>
        <w:tblBorders>
          <w:top w:val="single" w:color="auto" w:sz="4"/>
          <w:left w:val="single" w:color="auto" w:sz="4"/>
          <w:bottom w:val="single" w:color="auto" w:sz="4"/>
          <w:right w:val="single" w:color="auto" w:sz="4"/>
          <w:insideH w:val="single" w:color="auto" w:sz="4"/>
          <w:insideV w:val="single" w:color="auto" w:sz="4"/>
        </w:tblBorders>
      </w:tblPr>
      <w:tblGrid>
        <w:gridCol w:w="2400"/>
        <w:gridCol w:w="2800"/>
        <w:gridCol w:w="3800"/>
        <w:gridCol w:w="1400"/>
      </w:tblGrid>
      <w:tr>
        <w:tc>
          <w:tcPr>
            <w:tcW w:type="dxa" w:w="24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PYP Theme</w:t>
            </w:r>
          </w:p>
        </w:tc>
        <w:tc>
          <w:tcPr>
            <w:tcW w:type="dxa" w:w="28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IB Description</w:t>
            </w:r>
          </w:p>
        </w:tc>
        <w:tc>
          <w:tcPr>
            <w:tcW w:type="dxa" w:w="38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Programme Alignment</w:t>
            </w:r>
          </w:p>
        </w:tc>
        <w:tc>
          <w:tcPr>
            <w:tcW w:type="dxa" w:w="14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Key Weeks</w:t>
            </w:r>
          </w:p>
        </w:tc>
      </w:tr>
      <w:tr>
        <w:tc>
          <w:tcPr>
            <w:tcW w:type="dxa" w:w="2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2C5F2E"/>
                <w:sz w:val="17"/>
                <w:szCs w:val="17"/>
              </w:rPr>
              <w:t xml:space="preserve">Who We Are</w:t>
            </w:r>
          </w:p>
        </w:tc>
        <w:tc>
          <w:tcPr>
            <w:tcW w:type="dxa" w:w="2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An inquiry into the nature of the self; beliefs and values; personal health and spirituality.</w:t>
            </w:r>
          </w:p>
        </w:tc>
        <w:tc>
          <w:tcPr>
            <w:tcW w:type="dxa" w:w="3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Pillar 1 (coaching switch — understanding oneself as a learner), Pillar 3 (mindset — self-knowledge), Box Breathing (self-regulation). The weekly noticing question is a direct inquiry into self-observation.</w:t>
            </w:r>
          </w:p>
        </w:tc>
        <w:tc>
          <w:tcPr>
            <w:tcW w:type="dxa" w:w="1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Weeks 1–6, 7–10</w:t>
            </w:r>
          </w:p>
        </w:tc>
      </w:tr>
      <w:tr>
        <w:tc>
          <w:tcPr>
            <w:tcW w:type="dxa" w:w="2400"/>
            <w:tcBorders>
              <w:top w:val="single" w:color="CCCCCC" w:sz="2"/>
              <w:left w:val="single" w:color="CCCCCC" w:sz="2"/>
              <w:bottom w:val="single" w:color="CCCCCC" w:sz="2"/>
              <w:right w:val="single" w:color="CCCCCC" w:sz="2"/>
            </w:tcBorders>
            <w:shd w:fill="EAF4EE"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2C5F2E"/>
                <w:sz w:val="17"/>
                <w:szCs w:val="17"/>
              </w:rPr>
              <w:t xml:space="preserve">Where We Are in Place and Time</w:t>
            </w:r>
          </w:p>
        </w:tc>
        <w:tc>
          <w:tcPr>
            <w:tcW w:type="dxa" w:w="2800"/>
            <w:tcBorders>
              <w:top w:val="single" w:color="CCCCCC" w:sz="2"/>
              <w:left w:val="single" w:color="CCCCCC" w:sz="2"/>
              <w:bottom w:val="single" w:color="CCCCCC" w:sz="2"/>
              <w:right w:val="single" w:color="CCCCCC" w:sz="2"/>
            </w:tcBorders>
            <w:shd w:fill="EAF4EE"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An inquiry into heritage, homes and journeys; discoveries, explorations and migrations.</w:t>
            </w:r>
          </w:p>
        </w:tc>
        <w:tc>
          <w:tcPr>
            <w:tcW w:type="dxa" w:w="3800"/>
            <w:tcBorders>
              <w:top w:val="single" w:color="CCCCCC" w:sz="2"/>
              <w:left w:val="single" w:color="CCCCCC" w:sz="2"/>
              <w:bottom w:val="single" w:color="CCCCCC" w:sz="2"/>
              <w:right w:val="single" w:color="CCCCCC" w:sz="2"/>
            </w:tcBorders>
            <w:shd w:fill="EAF4EE"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16-nation character constellation, the Independence Day framing (India and America), and the global kitchen table concept connect local practice to historical and geographical context.</w:t>
            </w:r>
          </w:p>
        </w:tc>
        <w:tc>
          <w:tcPr>
            <w:tcW w:type="dxa" w:w="1400"/>
            <w:tcBorders>
              <w:top w:val="single" w:color="CCCCCC" w:sz="2"/>
              <w:left w:val="single" w:color="CCCCCC" w:sz="2"/>
              <w:bottom w:val="single" w:color="CCCCCC" w:sz="2"/>
              <w:right w:val="single" w:color="CCCCCC" w:sz="2"/>
            </w:tcBorders>
            <w:shd w:fill="EAF4EE"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Programme narrative throughout</w:t>
            </w:r>
          </w:p>
        </w:tc>
      </w:tr>
      <w:tr>
        <w:tc>
          <w:tcPr>
            <w:tcW w:type="dxa" w:w="2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2C5F2E"/>
                <w:sz w:val="17"/>
                <w:szCs w:val="17"/>
              </w:rPr>
              <w:t xml:space="preserve">How We Express Ourselves</w:t>
            </w:r>
          </w:p>
        </w:tc>
        <w:tc>
          <w:tcPr>
            <w:tcW w:type="dxa" w:w="2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An inquiry into the ways we discover and express ideas, feelings, nature, culture, and aesthetics.</w:t>
            </w:r>
          </w:p>
        </w:tc>
        <w:tc>
          <w:tcPr>
            <w:tcW w:type="dxa" w:w="3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Pillar 8 (communication, storytelling, pitch), Pillar 9 (creativity, originality). The Five-Part Pitch and Business Story are direct expression practices.</w:t>
            </w:r>
          </w:p>
        </w:tc>
        <w:tc>
          <w:tcPr>
            <w:tcW w:type="dxa" w:w="1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Weeks 27–36</w:t>
            </w:r>
          </w:p>
        </w:tc>
      </w:tr>
      <w:tr>
        <w:tc>
          <w:tcPr>
            <w:tcW w:type="dxa" w:w="2400"/>
            <w:tcBorders>
              <w:top w:val="single" w:color="CCCCCC" w:sz="2"/>
              <w:left w:val="single" w:color="CCCCCC" w:sz="2"/>
              <w:bottom w:val="single" w:color="CCCCCC" w:sz="2"/>
              <w:right w:val="single" w:color="CCCCCC" w:sz="2"/>
            </w:tcBorders>
            <w:shd w:fill="EAF4EE"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2C5F2E"/>
                <w:sz w:val="17"/>
                <w:szCs w:val="17"/>
              </w:rPr>
              <w:t xml:space="preserve">How the World Works</w:t>
            </w:r>
          </w:p>
        </w:tc>
        <w:tc>
          <w:tcPr>
            <w:tcW w:type="dxa" w:w="2800"/>
            <w:tcBorders>
              <w:top w:val="single" w:color="CCCCCC" w:sz="2"/>
              <w:left w:val="single" w:color="CCCCCC" w:sz="2"/>
              <w:bottom w:val="single" w:color="CCCCCC" w:sz="2"/>
              <w:right w:val="single" w:color="CCCCCC" w:sz="2"/>
            </w:tcBorders>
            <w:shd w:fill="EAF4EE"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An inquiry into the natural world; the application of human knowledge to scientific discoveries.</w:t>
            </w:r>
          </w:p>
        </w:tc>
        <w:tc>
          <w:tcPr>
            <w:tcW w:type="dxa" w:w="3800"/>
            <w:tcBorders>
              <w:top w:val="single" w:color="CCCCCC" w:sz="2"/>
              <w:left w:val="single" w:color="CCCCCC" w:sz="2"/>
              <w:bottom w:val="single" w:color="CCCCCC" w:sz="2"/>
              <w:right w:val="single" w:color="CCCCCC" w:sz="2"/>
            </w:tcBorders>
            <w:shd w:fill="EAF4EE"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experiment mindset (Pillar 4) applies the scientific method to business observation. The Three Questions (Pillar 6) is an analytical framework applicable to any system. The Opportunity Walk requires students to observe how the economic world works.</w:t>
            </w:r>
          </w:p>
        </w:tc>
        <w:tc>
          <w:tcPr>
            <w:tcW w:type="dxa" w:w="1400"/>
            <w:tcBorders>
              <w:top w:val="single" w:color="CCCCCC" w:sz="2"/>
              <w:left w:val="single" w:color="CCCCCC" w:sz="2"/>
              <w:bottom w:val="single" w:color="CCCCCC" w:sz="2"/>
              <w:right w:val="single" w:color="CCCCCC" w:sz="2"/>
            </w:tcBorders>
            <w:shd w:fill="EAF4EE"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Weeks 11–13, 18–22</w:t>
            </w:r>
          </w:p>
        </w:tc>
      </w:tr>
      <w:tr>
        <w:tc>
          <w:tcPr>
            <w:tcW w:type="dxa" w:w="2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2C5F2E"/>
                <w:sz w:val="17"/>
                <w:szCs w:val="17"/>
              </w:rPr>
              <w:t xml:space="preserve">How We Organize Ourselves</w:t>
            </w:r>
          </w:p>
        </w:tc>
        <w:tc>
          <w:tcPr>
            <w:tcW w:type="dxa" w:w="2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An inquiry into human systems and communities; societal structures and decision-making.</w:t>
            </w:r>
          </w:p>
        </w:tc>
        <w:tc>
          <w:tcPr>
            <w:tcW w:type="dxa" w:w="3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Pillar 5 (financial literacy, the Four Jars — a personal financial system), Pillar 7 (time and organisational systems), Pillar 10 (leadership systems — delegation, team agreement, decision-making).</w:t>
            </w:r>
          </w:p>
        </w:tc>
        <w:tc>
          <w:tcPr>
            <w:tcW w:type="dxa" w:w="1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Weeks 14–17, 23–25, 40–52</w:t>
            </w:r>
          </w:p>
        </w:tc>
      </w:tr>
      <w:tr>
        <w:tc>
          <w:tcPr>
            <w:tcW w:type="dxa" w:w="2400"/>
            <w:tcBorders>
              <w:top w:val="single" w:color="CCCCCC" w:sz="2"/>
              <w:left w:val="single" w:color="CCCCCC" w:sz="2"/>
              <w:bottom w:val="single" w:color="CCCCCC" w:sz="2"/>
              <w:right w:val="single" w:color="CCCCCC" w:sz="2"/>
            </w:tcBorders>
            <w:shd w:fill="EAF4EE"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2C5F2E"/>
                <w:sz w:val="17"/>
                <w:szCs w:val="17"/>
              </w:rPr>
              <w:t xml:space="preserve">Sharing the Planet</w:t>
            </w:r>
          </w:p>
        </w:tc>
        <w:tc>
          <w:tcPr>
            <w:tcW w:type="dxa" w:w="2800"/>
            <w:tcBorders>
              <w:top w:val="single" w:color="CCCCCC" w:sz="2"/>
              <w:left w:val="single" w:color="CCCCCC" w:sz="2"/>
              <w:bottom w:val="single" w:color="CCCCCC" w:sz="2"/>
              <w:right w:val="single" w:color="CCCCCC" w:sz="2"/>
            </w:tcBorders>
            <w:shd w:fill="EAF4EE"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5"/>
                <w:szCs w:val="15"/>
              </w:rPr>
              <w:t xml:space="preserve">An inquiry into rights and responsibilities in the struggle to share finite resources.</w:t>
            </w:r>
          </w:p>
        </w:tc>
        <w:tc>
          <w:tcPr>
            <w:tcW w:type="dxa" w:w="3800"/>
            <w:tcBorders>
              <w:top w:val="single" w:color="CCCCCC" w:sz="2"/>
              <w:left w:val="single" w:color="CCCCCC" w:sz="2"/>
              <w:bottom w:val="single" w:color="CCCCCC" w:sz="2"/>
              <w:right w:val="single" w:color="CCCCCC" w:sz="2"/>
            </w:tcBorders>
            <w:shd w:fill="EAF4EE"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The Give Jar (Pillar 5) establishes sharing as a structural practice. Pillar 10's Recognition Register and fairness framework build equity awareness. The Generosity episode (Week 16) directly addresses sharing.</w:t>
            </w:r>
          </w:p>
        </w:tc>
        <w:tc>
          <w:tcPr>
            <w:tcW w:type="dxa" w:w="1400"/>
            <w:tcBorders>
              <w:top w:val="single" w:color="CCCCCC" w:sz="2"/>
              <w:left w:val="single" w:color="CCCCCC" w:sz="2"/>
              <w:bottom w:val="single" w:color="CCCCCC" w:sz="2"/>
              <w:right w:val="single" w:color="CCCCCC" w:sz="2"/>
            </w:tcBorders>
            <w:shd w:fill="EAF4EE"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5"/>
                <w:szCs w:val="15"/>
              </w:rPr>
              <w:t xml:space="preserve">Weeks 16, 47–48</w:t>
            </w:r>
          </w:p>
        </w:tc>
      </w:tr>
    </w:tbl>
    <w:p>
      <w:pPr>
        <w:spacing w:after="40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5: WEEK-BY-WEEK IB REFERENCE</w:t>
            </w:r>
          </w:p>
        </w:tc>
      </w:tr>
      <w:tr>
        <w:tc>
          <w:tcPr>
            <w:tcW w:type="dxa" w:w="10080"/>
            <w:tcBorders>
              <w:top w:val="none"/>
              <w:left w:val="none"/>
              <w:bottom w:val="none"/>
              <w:right w:val="none"/>
            </w:tcBorders>
            <w:shd w:fill="1F3864" w:val="clear"/>
            <w:tcMar>
              <w:top w:type="dxa" w:w="0"/>
              <w:left w:type="dxa" w:w="240"/>
              <w:bottom w:type="dxa" w:w="140"/>
              <w:right w:type="dxa" w:w="240"/>
            </w:tcMar>
          </w:tcPr>
          <w:p>
            <w:pPr>
              <w:jc w:val="center"/>
            </w:pPr>
            <w:r>
              <w:rPr>
                <w:rFonts w:ascii="Arial" w:cs="Arial" w:eastAsia="Arial" w:hAnsi="Arial"/>
                <w:color w:val="BBCCDD"/>
                <w:sz w:val="17"/>
                <w:szCs w:val="17"/>
              </w:rPr>
              <w:t xml:space="preserve">18 Representative Episodes · Full IB Curriculum References</w:t>
            </w:r>
          </w:p>
        </w:tc>
      </w:tr>
    </w:tbl>
    <w:p>
      <w:pPr>
        <w:spacing w:after="320" w:before="0"/>
      </w:pPr>
    </w:p>
    <w:p>
      <w:pPr>
        <w:spacing w:after="160" w:before="0" w:line="290" w:lineRule="auto"/>
        <w:jc w:val="both"/>
      </w:pPr>
      <w:r>
        <w:rPr>
          <w:rFonts w:ascii="Arial" w:cs="Arial" w:eastAsia="Arial" w:hAnsi="Arial"/>
          <w:b w:val="false"/>
          <w:bCs w:val="false"/>
          <w:i w:val="false"/>
          <w:iCs w:val="false"/>
          <w:color w:val="444444"/>
          <w:sz w:val="20"/>
          <w:szCs w:val="20"/>
        </w:rPr>
        <w:t xml:space="preserve">The following table provides full IB curriculum references for 18 representative episodes across all four phases. These are selected to illustrate the range of alignment — every episode in the programme carries equivalent alignment, available in the full curriculum mapping document on request from simplejoyfamily.com.</w:t>
      </w:r>
    </w:p>
    <w:p>
      <w:pPr>
        <w:spacing w:after="200" w:before="0"/>
      </w:pPr>
    </w:p>
    <w:tbl>
      <w:tblPr>
        <w:tblW w:type="dxa" w:w="11400"/>
        <w:tblBorders>
          <w:top w:val="single" w:color="auto" w:sz="4"/>
          <w:left w:val="single" w:color="auto" w:sz="4"/>
          <w:bottom w:val="single" w:color="auto" w:sz="4"/>
          <w:right w:val="single" w:color="auto" w:sz="4"/>
          <w:insideH w:val="single" w:color="auto" w:sz="4"/>
          <w:insideV w:val="single" w:color="auto" w:sz="4"/>
        </w:tblBorders>
      </w:tblPr>
      <w:tblGrid>
        <w:gridCol w:w="600"/>
        <w:gridCol w:w="2800"/>
        <w:gridCol w:w="1600"/>
        <w:gridCol w:w="1600"/>
        <w:gridCol w:w="1800"/>
        <w:gridCol w:w="3000"/>
      </w:tblGrid>
      <w:tr>
        <w:tc>
          <w:tcPr>
            <w:tcW w:type="dxa" w:w="6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Wk</w:t>
            </w:r>
          </w:p>
        </w:tc>
        <w:tc>
          <w:tcPr>
            <w:tcW w:type="dxa" w:w="28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Episode Title</w:t>
            </w:r>
          </w:p>
        </w:tc>
        <w:tc>
          <w:tcPr>
            <w:tcW w:type="dxa" w:w="16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PYP Theme</w:t>
            </w:r>
          </w:p>
        </w:tc>
        <w:tc>
          <w:tcPr>
            <w:tcW w:type="dxa" w:w="16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MYP Subject</w:t>
            </w:r>
          </w:p>
        </w:tc>
        <w:tc>
          <w:tcPr>
            <w:tcW w:type="dxa" w:w="18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ATL Skills</w:t>
            </w:r>
          </w:p>
        </w:tc>
        <w:tc>
          <w:tcPr>
            <w:tcW w:type="dxa" w:w="30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IB Curriculum Reference</w:t>
            </w:r>
          </w:p>
        </w:tc>
      </w:tr>
      <w:tr>
        <w:tc>
          <w:tcPr>
            <w:tcW w:type="dxa" w:w="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1</w:t>
            </w:r>
          </w:p>
        </w:tc>
        <w:tc>
          <w:tcPr>
            <w:tcW w:type="dxa" w:w="2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The Dinner Table Is Your First Boardroom</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Who We Are — self as learner and observer</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Personal and Social Education — identity and agency</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Self-management (states of mind), Thinking (critical)</w:t>
            </w:r>
          </w:p>
        </w:tc>
        <w:tc>
          <w:tcPr>
            <w:tcW w:type="dxa" w:w="3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Form. MYP: ATL — Thinking skills Category I</w:t>
            </w:r>
          </w:p>
        </w:tc>
      </w:tr>
      <w:tr>
        <w:tc>
          <w:tcPr>
            <w:tcW w:type="dxa" w:w="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2</w:t>
            </w:r>
          </w:p>
        </w:tc>
        <w:tc>
          <w:tcPr>
            <w:tcW w:type="dxa" w:w="2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From Parent to Coach — The Coaching Switch</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Who We Are — relationships and belonging</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Personal and Social Education — relationships</w:t>
            </w:r>
          </w:p>
        </w:tc>
        <w:tc>
          <w:tcPr>
            <w:tcW w:type="dxa" w:w="1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Social skills (collaboration, listening)</w:t>
            </w:r>
          </w:p>
        </w:tc>
        <w:tc>
          <w:tcPr>
            <w:tcW w:type="dxa" w:w="30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Connection. MYP: ATL — Social skills Category III</w:t>
            </w:r>
          </w:p>
        </w:tc>
      </w:tr>
      <w:tr>
        <w:tc>
          <w:tcPr>
            <w:tcW w:type="dxa" w:w="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7</w:t>
            </w:r>
          </w:p>
        </w:tc>
        <w:tc>
          <w:tcPr>
            <w:tcW w:type="dxa" w:w="2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The Curiosity Thieves</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How We Express Ourselves — discovery</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Language and Literature — inquiry and analysis</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Thinking skills (creative, critical)</w:t>
            </w:r>
          </w:p>
        </w:tc>
        <w:tc>
          <w:tcPr>
            <w:tcW w:type="dxa" w:w="3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Perspective. MYP: ATL — Thinking skills Category I</w:t>
            </w:r>
          </w:p>
        </w:tc>
      </w:tr>
      <w:tr>
        <w:tc>
          <w:tcPr>
            <w:tcW w:type="dxa" w:w="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9</w:t>
            </w:r>
          </w:p>
        </w:tc>
        <w:tc>
          <w:tcPr>
            <w:tcW w:type="dxa" w:w="2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The Monkey Mind and the Calm Creator</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Who We Are — personal health and wellbeing</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Health and Physical Education — mental wellbeing</w:t>
            </w:r>
          </w:p>
        </w:tc>
        <w:tc>
          <w:tcPr>
            <w:tcW w:type="dxa" w:w="1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Self-management (states of mind)</w:t>
            </w:r>
          </w:p>
        </w:tc>
        <w:tc>
          <w:tcPr>
            <w:tcW w:type="dxa" w:w="30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Function. MYP: ATL — Self-management skills Category IV</w:t>
            </w:r>
          </w:p>
        </w:tc>
      </w:tr>
      <w:tr>
        <w:tc>
          <w:tcPr>
            <w:tcW w:type="dxa" w:w="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11</w:t>
            </w:r>
          </w:p>
        </w:tc>
        <w:tc>
          <w:tcPr>
            <w:tcW w:type="dxa" w:w="2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Just Start — The First Step Is the Only Step</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How the World Works — scientific inquiry</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Sciences — scientific inquiry</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Thinking skills (transfer)</w:t>
            </w:r>
          </w:p>
        </w:tc>
        <w:tc>
          <w:tcPr>
            <w:tcW w:type="dxa" w:w="3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Causation. MYP: ATL — Thinking skills Category I</w:t>
            </w:r>
          </w:p>
        </w:tc>
      </w:tr>
      <w:tr>
        <w:tc>
          <w:tcPr>
            <w:tcW w:type="dxa" w:w="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14</w:t>
            </w:r>
          </w:p>
        </w:tc>
        <w:tc>
          <w:tcPr>
            <w:tcW w:type="dxa" w:w="2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What Is Money, Really?</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How We Organize Ourselves — economic systems</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Mathematics — number; Individuals and Societies — economics</w:t>
            </w:r>
          </w:p>
        </w:tc>
        <w:tc>
          <w:tcPr>
            <w:tcW w:type="dxa" w:w="1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Thinking skills (critical), Research (information literacy)</w:t>
            </w:r>
          </w:p>
        </w:tc>
        <w:tc>
          <w:tcPr>
            <w:tcW w:type="dxa" w:w="30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Function. MYP: Mathematics Criterion C — Communicating</w:t>
            </w:r>
          </w:p>
        </w:tc>
      </w:tr>
      <w:tr>
        <w:tc>
          <w:tcPr>
            <w:tcW w:type="dxa" w:w="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15</w:t>
            </w:r>
          </w:p>
        </w:tc>
        <w:tc>
          <w:tcPr>
            <w:tcW w:type="dxa" w:w="2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Your Child's First Business</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How We Organize Ourselves — community structures</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Individuals and Societies — economics and entrepreneurship</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Thinking (creative, critical), Communication</w:t>
            </w:r>
          </w:p>
        </w:tc>
        <w:tc>
          <w:tcPr>
            <w:tcW w:type="dxa" w:w="3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Responsibility. MYP: ATL — Thinking skills Category I + II</w:t>
            </w:r>
          </w:p>
        </w:tc>
      </w:tr>
      <w:tr>
        <w:tc>
          <w:tcPr>
            <w:tcW w:type="dxa" w:w="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16</w:t>
            </w:r>
          </w:p>
        </w:tc>
        <w:tc>
          <w:tcPr>
            <w:tcW w:type="dxa" w:w="2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Giving Is Not Losing — The Give Jar</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Sharing the Planet — rights and responsibilities</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Individuals and Societies — civic responsibility</w:t>
            </w:r>
          </w:p>
        </w:tc>
        <w:tc>
          <w:tcPr>
            <w:tcW w:type="dxa" w:w="1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Social skills (collaboration)</w:t>
            </w:r>
          </w:p>
        </w:tc>
        <w:tc>
          <w:tcPr>
            <w:tcW w:type="dxa" w:w="30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Responsibility. MYP: ATL — Social skills Category III</w:t>
            </w:r>
          </w:p>
        </w:tc>
      </w:tr>
      <w:tr>
        <w:tc>
          <w:tcPr>
            <w:tcW w:type="dxa" w:w="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18</w:t>
            </w:r>
          </w:p>
        </w:tc>
        <w:tc>
          <w:tcPr>
            <w:tcW w:type="dxa" w:w="2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The Improvement Habit — Three Questions</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How the World Works — analytical inquiry</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All subjects — ATL thinking skills</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Thinking skills (critical and creative)</w:t>
            </w:r>
          </w:p>
        </w:tc>
        <w:tc>
          <w:tcPr>
            <w:tcW w:type="dxa" w:w="3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Change. MYP: ATL — Thinking skills Category I (applicable across all MYP subjects)</w:t>
            </w:r>
          </w:p>
        </w:tc>
      </w:tr>
      <w:tr>
        <w:tc>
          <w:tcPr>
            <w:tcW w:type="dxa" w:w="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23</w:t>
            </w:r>
          </w:p>
        </w:tc>
        <w:tc>
          <w:tcPr>
            <w:tcW w:type="dxa" w:w="2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Time Is the Only Thing You Cannot Make More Of</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How We Organize Ourselves — personal systems</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Personal and Social Education — self-management</w:t>
            </w:r>
          </w:p>
        </w:tc>
        <w:tc>
          <w:tcPr>
            <w:tcW w:type="dxa" w:w="1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Self-management skills (organisation)</w:t>
            </w:r>
          </w:p>
        </w:tc>
        <w:tc>
          <w:tcPr>
            <w:tcW w:type="dxa" w:w="30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Function. MYP: ATL — Self-management skills Category IV</w:t>
            </w:r>
          </w:p>
        </w:tc>
      </w:tr>
      <w:tr>
        <w:tc>
          <w:tcPr>
            <w:tcW w:type="dxa" w:w="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27</w:t>
            </w:r>
          </w:p>
        </w:tc>
        <w:tc>
          <w:tcPr>
            <w:tcW w:type="dxa" w:w="2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Your Child's Voice Is a Business Tool</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How We Express Ourselves — communication modes</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Language Acquisition / Language and Literature — oral communication</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Communication skills (exchanging information, literacy)</w:t>
            </w:r>
          </w:p>
        </w:tc>
        <w:tc>
          <w:tcPr>
            <w:tcW w:type="dxa" w:w="3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Form. MYP: Language and Literature Criterion A — Analysing</w:t>
            </w:r>
          </w:p>
        </w:tc>
      </w:tr>
      <w:tr>
        <w:tc>
          <w:tcPr>
            <w:tcW w:type="dxa" w:w="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29</w:t>
            </w:r>
          </w:p>
        </w:tc>
        <w:tc>
          <w:tcPr>
            <w:tcW w:type="dxa" w:w="2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Tell Me a Story</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How We Express Ourselves — narrative</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Language and Literature — literary analysis and creation</w:t>
            </w:r>
          </w:p>
        </w:tc>
        <w:tc>
          <w:tcPr>
            <w:tcW w:type="dxa" w:w="1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Communication skills (literacy, using language)</w:t>
            </w:r>
          </w:p>
        </w:tc>
        <w:tc>
          <w:tcPr>
            <w:tcW w:type="dxa" w:w="30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Connection. MYP: Language and Literature Criterion D — Using language</w:t>
            </w:r>
          </w:p>
        </w:tc>
      </w:tr>
      <w:tr>
        <w:tc>
          <w:tcPr>
            <w:tcW w:type="dxa" w:w="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35</w:t>
            </w:r>
          </w:p>
        </w:tc>
        <w:tc>
          <w:tcPr>
            <w:tcW w:type="dxa" w:w="2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The Idea Collision</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How We Express Ourselves — creativity and discovery</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Design — creative and critical thinking</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Thinking skills (creative), Communication</w:t>
            </w:r>
          </w:p>
        </w:tc>
        <w:tc>
          <w:tcPr>
            <w:tcW w:type="dxa" w:w="3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Perspective. MYP: Design Criterion A — Inquiring and analysing</w:t>
            </w:r>
          </w:p>
        </w:tc>
      </w:tr>
      <w:tr>
        <w:tc>
          <w:tcPr>
            <w:tcW w:type="dxa" w:w="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37</w:t>
            </w:r>
          </w:p>
        </w:tc>
        <w:tc>
          <w:tcPr>
            <w:tcW w:type="dxa" w:w="2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The Network</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Sharing the Planet — community and relationships</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Individuals and Societies — community structures</w:t>
            </w:r>
          </w:p>
        </w:tc>
        <w:tc>
          <w:tcPr>
            <w:tcW w:type="dxa" w:w="1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Social skills (collaboration), Communication</w:t>
            </w:r>
          </w:p>
        </w:tc>
        <w:tc>
          <w:tcPr>
            <w:tcW w:type="dxa" w:w="30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Connection. MYP: ATL — Social skills Category III</w:t>
            </w:r>
          </w:p>
        </w:tc>
      </w:tr>
      <w:tr>
        <w:tc>
          <w:tcPr>
            <w:tcW w:type="dxa" w:w="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40</w:t>
            </w:r>
          </w:p>
        </w:tc>
        <w:tc>
          <w:tcPr>
            <w:tcW w:type="dxa" w:w="2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The Mentor</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Who We Are — relationships</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Personal and Social Education — leadership</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Social skills, Communication</w:t>
            </w:r>
          </w:p>
        </w:tc>
        <w:tc>
          <w:tcPr>
            <w:tcW w:type="dxa" w:w="3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Responsibility. MYP: ATL — Social skills Category III</w:t>
            </w:r>
          </w:p>
        </w:tc>
      </w:tr>
      <w:tr>
        <w:tc>
          <w:tcPr>
            <w:tcW w:type="dxa" w:w="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42</w:t>
            </w:r>
          </w:p>
        </w:tc>
        <w:tc>
          <w:tcPr>
            <w:tcW w:type="dxa" w:w="2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What Outlasts You — Legacy</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Where We Are in Place and Time — heritage</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Individuals and Societies — history and identity</w:t>
            </w:r>
          </w:p>
        </w:tc>
        <w:tc>
          <w:tcPr>
            <w:tcW w:type="dxa" w:w="1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Thinking skills (creative, transfer)</w:t>
            </w:r>
          </w:p>
        </w:tc>
        <w:tc>
          <w:tcPr>
            <w:tcW w:type="dxa" w:w="30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Change. MYP: ATL — Thinking skills Category I</w:t>
            </w:r>
          </w:p>
        </w:tc>
      </w:tr>
      <w:tr>
        <w:tc>
          <w:tcPr>
            <w:tcW w:type="dxa" w:w="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48</w:t>
            </w:r>
          </w:p>
        </w:tc>
        <w:tc>
          <w:tcPr>
            <w:tcW w:type="dxa" w:w="2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The Harder Right — Integrity</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Who We Are — beliefs and values</w:t>
            </w:r>
          </w:p>
        </w:tc>
        <w:tc>
          <w:tcPr>
            <w:tcW w:type="dxa" w:w="16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Personal and Social Education — ethics</w:t>
            </w:r>
          </w:p>
        </w:tc>
        <w:tc>
          <w:tcPr>
            <w:tcW w:type="dxa" w:w="18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Thinking skills (critical, ethical)</w:t>
            </w:r>
          </w:p>
        </w:tc>
        <w:tc>
          <w:tcPr>
            <w:tcW w:type="dxa" w:w="3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Key concept — Responsibility. MYP: ATL — Thinking skills Category I</w:t>
            </w:r>
          </w:p>
        </w:tc>
      </w:tr>
      <w:tr>
        <w:tc>
          <w:tcPr>
            <w:tcW w:type="dxa" w:w="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52</w:t>
            </w:r>
          </w:p>
        </w:tc>
        <w:tc>
          <w:tcPr>
            <w:tcW w:type="dxa" w:w="2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444444"/>
                <w:sz w:val="16"/>
                <w:szCs w:val="16"/>
              </w:rPr>
              <w:t xml:space="preserve">Year-End Finale</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2C5F2E"/>
                <w:sz w:val="14"/>
                <w:szCs w:val="14"/>
              </w:rPr>
              <w:t xml:space="preserve">All six themes — year-long synthesis</w:t>
            </w:r>
          </w:p>
        </w:tc>
        <w:tc>
          <w:tcPr>
            <w:tcW w:type="dxa" w:w="16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1F3864"/>
                <w:sz w:val="14"/>
                <w:szCs w:val="14"/>
              </w:rPr>
              <w:t xml:space="preserve">All subjects — summative reflection</w:t>
            </w:r>
          </w:p>
        </w:tc>
        <w:tc>
          <w:tcPr>
            <w:tcW w:type="dxa" w:w="18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4"/>
                <w:szCs w:val="14"/>
              </w:rPr>
              <w:t xml:space="preserve">All five ATL skill categories</w:t>
            </w:r>
          </w:p>
        </w:tc>
        <w:tc>
          <w:tcPr>
            <w:tcW w:type="dxa" w:w="3000"/>
            <w:tcBorders>
              <w:top w:val="single" w:color="CCCCCC" w:sz="2"/>
              <w:left w:val="single" w:color="CCCCCC" w:sz="2"/>
              <w:bottom w:val="single" w:color="CCCCCC" w:sz="2"/>
              <w:right w:val="single" w:color="CCCCCC" w:sz="2"/>
            </w:tcBorders>
            <w:shd w:fill="F8F8F8"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888888"/>
                <w:sz w:val="14"/>
                <w:szCs w:val="14"/>
              </w:rPr>
              <w:t xml:space="preserve">PYP: Exhibition equivalent. MYP: Personal Project alignment — year-long process portfolio</w:t>
            </w:r>
          </w:p>
        </w:tc>
      </w:tr>
    </w:tbl>
    <w:p>
      <w:pPr>
        <w:spacing w:after="40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6: IMPLEMENTATION MODELS FOR IB SCHOOLS</w:t>
            </w:r>
          </w:p>
        </w:tc>
      </w:tr>
      <w:tr>
        <w:tc>
          <w:tcPr>
            <w:tcW w:type="dxa" w:w="10080"/>
            <w:tcBorders>
              <w:top w:val="none"/>
              <w:left w:val="none"/>
              <w:bottom w:val="none"/>
              <w:right w:val="none"/>
            </w:tcBorders>
            <w:shd w:fill="1F3864" w:val="clear"/>
            <w:tcMar>
              <w:top w:type="dxa" w:w="0"/>
              <w:left w:type="dxa" w:w="240"/>
              <w:bottom w:type="dxa" w:w="140"/>
              <w:right w:type="dxa" w:w="240"/>
            </w:tcMar>
          </w:tcPr>
          <w:p>
            <w:pPr>
              <w:jc w:val="center"/>
            </w:pPr>
            <w:r>
              <w:rPr>
                <w:rFonts w:ascii="Arial" w:cs="Arial" w:eastAsia="Arial" w:hAnsi="Arial"/>
                <w:color w:val="BBCCDD"/>
                <w:sz w:val="17"/>
                <w:szCs w:val="17"/>
              </w:rPr>
              <w:t xml:space="preserve">Three Models · From Family Engagement to Co-curricular Integration</w:t>
            </w:r>
          </w:p>
        </w:tc>
      </w:tr>
    </w:tbl>
    <w:p>
      <w:pPr>
        <w:spacing w:after="320" w:before="0"/>
      </w:pPr>
    </w:p>
    <w:p>
      <w:pPr>
        <w:spacing w:after="160" w:before="0" w:line="290" w:lineRule="auto"/>
        <w:jc w:val="both"/>
      </w:pPr>
      <w:r>
        <w:rPr>
          <w:rFonts w:ascii="Arial" w:cs="Arial" w:eastAsia="Arial" w:hAnsi="Arial"/>
          <w:b w:val="false"/>
          <w:bCs w:val="false"/>
          <w:i w:val="false"/>
          <w:iCs w:val="false"/>
          <w:color w:val="444444"/>
          <w:sz w:val="20"/>
          <w:szCs w:val="20"/>
        </w:rPr>
        <w:t xml:space="preserve">SimpleJoy | SaralAnand is designed to operate as a family engagement layer that reinforces, not replaces, existing IB curriculum. Three implementation models are available to IB schools, ranging from a zero-cost, zero-administration option to a fully integrated co-curricular strand.</w:t>
      </w:r>
    </w:p>
    <w:p>
      <w:pPr>
        <w:spacing w:after="24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2C5F2E" w:val="clear"/>
            <w:tcMar>
              <w:top w:type="dxa" w:w="120"/>
              <w:left w:type="dxa" w:w="200"/>
              <w:bottom w:type="dxa" w:w="120"/>
              <w:right w:type="dxa" w:w="200"/>
            </w:tcMar>
          </w:tcPr>
          <w:p>
            <w:r>
              <w:rPr>
                <w:rFonts w:ascii="Arial" w:cs="Arial" w:eastAsia="Arial" w:hAnsi="Arial"/>
                <w:b/>
                <w:bCs/>
                <w:color w:val="FFFFFF"/>
                <w:sz w:val="20"/>
                <w:szCs w:val="20"/>
              </w:rPr>
              <w:t xml:space="preserve">Model 1 — Family Engagement Programme</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2C5F2E" w:sz="14"/>
              <w:bottom w:val="single" w:color="CCCCCC" w:sz="2"/>
              <w:right w:val="none"/>
            </w:tcBorders>
            <w:shd w:fill="EAF4EE" w:val="clear"/>
            <w:tcMar>
              <w:top w:type="dxa" w:w="120"/>
              <w:left w:type="dxa" w:w="200"/>
              <w:bottom w:type="dxa" w:w="120"/>
              <w:right w:type="dxa" w:w="200"/>
            </w:tcMar>
          </w:tcPr>
          <w:p>
            <w:pPr>
              <w:spacing w:after="100" w:before="0" w:line="275" w:lineRule="auto"/>
            </w:pPr>
            <w:r>
              <w:rPr>
                <w:rFonts w:ascii="Arial" w:cs="Arial" w:eastAsia="Arial" w:hAnsi="Arial"/>
                <w:color w:val="444444"/>
                <w:sz w:val="19"/>
                <w:szCs w:val="19"/>
              </w:rPr>
              <w:t xml:space="preserve">The school recommends the programme to parents as a home-based family engagement activity. No school administration required. Zero cost. The school communicates the IB alignment to parents, who engage independently.</w:t>
            </w:r>
          </w:p>
          <w:p>
            <w:pPr>
              <w:spacing w:after="50" w:before="80"/>
            </w:pPr>
            <w:r>
              <w:rPr>
                <w:rFonts w:ascii="Arial" w:cs="Arial" w:eastAsia="Arial" w:hAnsi="Arial"/>
                <w:b/>
                <w:bCs/>
                <w:caps/>
                <w:color w:val="2C5F2E"/>
                <w:sz w:val="16"/>
                <w:szCs w:val="16"/>
              </w:rPr>
              <w:t xml:space="preserve">IMPLEMENTATION STEPS:</w:t>
            </w:r>
          </w:p>
          <w:p>
            <w:pPr>
              <w:spacing w:after="60" w:before="0"/>
              <w:ind w:left="240"/>
            </w:pPr>
            <w:r>
              <w:rPr>
                <w:rFonts w:ascii="Arial" w:cs="Arial" w:eastAsia="Arial" w:hAnsi="Arial"/>
                <w:color w:val="444444"/>
                <w:sz w:val="18"/>
                <w:szCs w:val="18"/>
              </w:rPr>
              <w:t xml:space="preserve">1.  School shares the IB alignment document with parents at the start of the academic year.</w:t>
            </w:r>
          </w:p>
          <w:p>
            <w:pPr>
              <w:spacing w:after="60" w:before="0"/>
              <w:ind w:left="240"/>
            </w:pPr>
            <w:r>
              <w:rPr>
                <w:rFonts w:ascii="Arial" w:cs="Arial" w:eastAsia="Arial" w:hAnsi="Arial"/>
                <w:color w:val="444444"/>
                <w:sz w:val="18"/>
                <w:szCs w:val="18"/>
              </w:rPr>
              <w:t xml:space="preserve">2.  Parents access free weekly content at simplejoyfamily.com and YouTube.</w:t>
            </w:r>
          </w:p>
          <w:p>
            <w:pPr>
              <w:spacing w:after="60" w:before="0"/>
              <w:ind w:left="240"/>
            </w:pPr>
            <w:r>
              <w:rPr>
                <w:rFonts w:ascii="Arial" w:cs="Arial" w:eastAsia="Arial" w:hAnsi="Arial"/>
                <w:color w:val="444444"/>
                <w:sz w:val="18"/>
                <w:szCs w:val="18"/>
              </w:rPr>
              <w:t xml:space="preserve">3.  Students bring Idea Notebook entries as optional reflections in relevant IB units of inquiry.</w:t>
            </w:r>
          </w:p>
          <w:p>
            <w:pPr>
              <w:spacing w:after="60" w:before="0"/>
              <w:ind w:left="240"/>
            </w:pPr>
            <w:r>
              <w:rPr>
                <w:rFonts w:ascii="Arial" w:cs="Arial" w:eastAsia="Arial" w:hAnsi="Arial"/>
                <w:color w:val="444444"/>
                <w:sz w:val="18"/>
                <w:szCs w:val="18"/>
              </w:rPr>
              <w:t xml:space="preserve">4.  School coordinator reviews the weekly episode each week and sends a one-paragraph note to parents connecting it to current classroom learning.</w:t>
            </w:r>
          </w:p>
          <w:p>
            <w:pPr>
              <w:spacing w:after="0" w:before="100"/>
            </w:pPr>
            <w:r>
              <w:rPr>
                <w:rFonts w:ascii="Arial" w:cs="Arial" w:eastAsia="Arial" w:hAnsi="Arial"/>
                <w:color w:val="888888"/>
                <w:sz w:val="16"/>
                <w:szCs w:val="16"/>
              </w:rPr>
              <w:t xml:space="preserve">SUITABLE FOR:  All IB World Schools · Recommended starting point · No budget required · Immediate implementation</w:t>
            </w:r>
          </w:p>
        </w:tc>
      </w:tr>
    </w:tbl>
    <w:p>
      <w:pPr>
        <w:spacing w:after="28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20"/>
              <w:left w:type="dxa" w:w="200"/>
              <w:bottom w:type="dxa" w:w="120"/>
              <w:right w:type="dxa" w:w="200"/>
            </w:tcMar>
          </w:tcPr>
          <w:p>
            <w:r>
              <w:rPr>
                <w:rFonts w:ascii="Arial" w:cs="Arial" w:eastAsia="Arial" w:hAnsi="Arial"/>
                <w:b/>
                <w:bCs/>
                <w:color w:val="FFFFFF"/>
                <w:sz w:val="20"/>
                <w:szCs w:val="20"/>
              </w:rPr>
              <w:t xml:space="preserve">Model 2 — Homeroom or Advisory Integration</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1F3864" w:sz="14"/>
              <w:bottom w:val="single" w:color="CCCCCC" w:sz="2"/>
              <w:right w:val="none"/>
            </w:tcBorders>
            <w:shd w:fill="EAF0FA" w:val="clear"/>
            <w:tcMar>
              <w:top w:type="dxa" w:w="120"/>
              <w:left w:type="dxa" w:w="200"/>
              <w:bottom w:type="dxa" w:w="120"/>
              <w:right w:type="dxa" w:w="200"/>
            </w:tcMar>
          </w:tcPr>
          <w:p>
            <w:pPr>
              <w:spacing w:after="100" w:before="0" w:line="275" w:lineRule="auto"/>
            </w:pPr>
            <w:r>
              <w:rPr>
                <w:rFonts w:ascii="Arial" w:cs="Arial" w:eastAsia="Arial" w:hAnsi="Arial"/>
                <w:color w:val="444444"/>
                <w:sz w:val="19"/>
                <w:szCs w:val="19"/>
              </w:rPr>
              <w:t xml:space="preserve">The programme is embedded into weekly homeroom, advisory, or form time. One 15-minute session per week. The teacher shows the week's animated episode (#UdyamMe_EntrepreneurialChild, 60 seconds), facilitates a brief discussion, and assigns the home challenge as a family activity.</w:t>
            </w:r>
          </w:p>
          <w:p>
            <w:pPr>
              <w:spacing w:after="50" w:before="80"/>
            </w:pPr>
            <w:r>
              <w:rPr>
                <w:rFonts w:ascii="Arial" w:cs="Arial" w:eastAsia="Arial" w:hAnsi="Arial"/>
                <w:b/>
                <w:bCs/>
                <w:caps/>
                <w:color w:val="1F3864"/>
                <w:sz w:val="16"/>
                <w:szCs w:val="16"/>
              </w:rPr>
              <w:t xml:space="preserve">IMPLEMENTATION STEPS:</w:t>
            </w:r>
          </w:p>
          <w:p>
            <w:pPr>
              <w:spacing w:after="60" w:before="0"/>
              <w:ind w:left="240"/>
            </w:pPr>
            <w:r>
              <w:rPr>
                <w:rFonts w:ascii="Arial" w:cs="Arial" w:eastAsia="Arial" w:hAnsi="Arial"/>
                <w:color w:val="444444"/>
                <w:sz w:val="18"/>
                <w:szCs w:val="18"/>
              </w:rPr>
              <w:t xml:space="preserve">1.  School designates 15 minutes of weekly homeroom/advisory time for the programme.</w:t>
            </w:r>
          </w:p>
          <w:p>
            <w:pPr>
              <w:spacing w:after="60" w:before="0"/>
              <w:ind w:left="240"/>
            </w:pPr>
            <w:r>
              <w:rPr>
                <w:rFonts w:ascii="Arial" w:cs="Arial" w:eastAsia="Arial" w:hAnsi="Arial"/>
                <w:color w:val="444444"/>
                <w:sz w:val="18"/>
                <w:szCs w:val="18"/>
              </w:rPr>
              <w:t xml:space="preserve">2.  Teacher shows the 60-second #UdyamMe episode each week.</w:t>
            </w:r>
          </w:p>
          <w:p>
            <w:pPr>
              <w:spacing w:after="60" w:before="0"/>
              <w:ind w:left="240"/>
            </w:pPr>
            <w:r>
              <w:rPr>
                <w:rFonts w:ascii="Arial" w:cs="Arial" w:eastAsia="Arial" w:hAnsi="Arial"/>
                <w:color w:val="444444"/>
                <w:sz w:val="18"/>
                <w:szCs w:val="18"/>
              </w:rPr>
              <w:t xml:space="preserve">3.  Students discuss the episode in relation to their current unit of inquiry or ATL skills focus.</w:t>
            </w:r>
          </w:p>
          <w:p>
            <w:pPr>
              <w:spacing w:after="60" w:before="0"/>
              <w:ind w:left="240"/>
            </w:pPr>
            <w:r>
              <w:rPr>
                <w:rFonts w:ascii="Arial" w:cs="Arial" w:eastAsia="Arial" w:hAnsi="Arial"/>
                <w:color w:val="444444"/>
                <w:sz w:val="18"/>
                <w:szCs w:val="18"/>
              </w:rPr>
              <w:t xml:space="preserve">4.  Home challenge is assigned and completed with family. Idea Notebook is maintained.</w:t>
            </w:r>
          </w:p>
          <w:p>
            <w:pPr>
              <w:spacing w:after="60" w:before="0"/>
              <w:ind w:left="240"/>
            </w:pPr>
            <w:r>
              <w:rPr>
                <w:rFonts w:ascii="Arial" w:cs="Arial" w:eastAsia="Arial" w:hAnsi="Arial"/>
                <w:color w:val="444444"/>
                <w:sz w:val="18"/>
                <w:szCs w:val="18"/>
              </w:rPr>
              <w:t xml:space="preserve">5.  Phase Reviews (Weeks 13, 26, 39, 52) become mini-exhibitions shared with parents.</w:t>
            </w:r>
          </w:p>
          <w:p>
            <w:pPr>
              <w:spacing w:after="0" w:before="100"/>
            </w:pPr>
            <w:r>
              <w:rPr>
                <w:rFonts w:ascii="Arial" w:cs="Arial" w:eastAsia="Arial" w:hAnsi="Arial"/>
                <w:color w:val="888888"/>
                <w:sz w:val="16"/>
                <w:szCs w:val="16"/>
              </w:rPr>
              <w:t xml:space="preserve">SUITABLE FOR:  PYP and MYP schools · Homeroom or advisory period required · Minimal teacher preparation · IB coordinator oversight recommended</w:t>
            </w:r>
          </w:p>
        </w:tc>
      </w:tr>
    </w:tbl>
    <w:p>
      <w:pPr>
        <w:spacing w:after="28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4A3080" w:val="clear"/>
            <w:tcMar>
              <w:top w:type="dxa" w:w="120"/>
              <w:left w:type="dxa" w:w="200"/>
              <w:bottom w:type="dxa" w:w="120"/>
              <w:right w:type="dxa" w:w="200"/>
            </w:tcMar>
          </w:tcPr>
          <w:p>
            <w:r>
              <w:rPr>
                <w:rFonts w:ascii="Arial" w:cs="Arial" w:eastAsia="Arial" w:hAnsi="Arial"/>
                <w:b/>
                <w:bCs/>
                <w:color w:val="FFFFFF"/>
                <w:sz w:val="20"/>
                <w:szCs w:val="20"/>
              </w:rPr>
              <w:t xml:space="preserve">Model 3 — Co-curricular Strand</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4A3080" w:sz="14"/>
              <w:bottom w:val="single" w:color="CCCCCC" w:sz="2"/>
              <w:right w:val="none"/>
            </w:tcBorders>
            <w:shd w:fill="F0EDFB" w:val="clear"/>
            <w:tcMar>
              <w:top w:type="dxa" w:w="120"/>
              <w:left w:type="dxa" w:w="200"/>
              <w:bottom w:type="dxa" w:w="120"/>
              <w:right w:type="dxa" w:w="200"/>
            </w:tcMar>
          </w:tcPr>
          <w:p>
            <w:pPr>
              <w:spacing w:after="100" w:before="0" w:line="275" w:lineRule="auto"/>
            </w:pPr>
            <w:r>
              <w:rPr>
                <w:rFonts w:ascii="Arial" w:cs="Arial" w:eastAsia="Arial" w:hAnsi="Arial"/>
                <w:color w:val="444444"/>
                <w:sz w:val="19"/>
                <w:szCs w:val="19"/>
              </w:rPr>
              <w:t xml:space="preserve">The programme is formally incorporated as a co-curricular strand with explicit IB curriculum references. Students maintain Idea Notebooks as portfolio evidence. Phase Reviews are assessed against ATL criteria. The Year-End Review (Week 52) serves as a personal project precursor for MYP students.</w:t>
            </w:r>
          </w:p>
          <w:p>
            <w:pPr>
              <w:spacing w:after="50" w:before="80"/>
            </w:pPr>
            <w:r>
              <w:rPr>
                <w:rFonts w:ascii="Arial" w:cs="Arial" w:eastAsia="Arial" w:hAnsi="Arial"/>
                <w:b/>
                <w:bCs/>
                <w:caps/>
                <w:color w:val="4A3080"/>
                <w:sz w:val="16"/>
                <w:szCs w:val="16"/>
              </w:rPr>
              <w:t xml:space="preserve">IMPLEMENTATION STEPS:</w:t>
            </w:r>
          </w:p>
          <w:p>
            <w:pPr>
              <w:spacing w:after="60" w:before="0"/>
              <w:ind w:left="240"/>
            </w:pPr>
            <w:r>
              <w:rPr>
                <w:rFonts w:ascii="Arial" w:cs="Arial" w:eastAsia="Arial" w:hAnsi="Arial"/>
                <w:color w:val="444444"/>
                <w:sz w:val="18"/>
                <w:szCs w:val="18"/>
              </w:rPr>
              <w:t xml:space="preserve">1.  IB Coordinator maps programme pillars to current units of inquiry at the start of the year.</w:t>
            </w:r>
          </w:p>
          <w:p>
            <w:pPr>
              <w:spacing w:after="60" w:before="0"/>
              <w:ind w:left="240"/>
            </w:pPr>
            <w:r>
              <w:rPr>
                <w:rFonts w:ascii="Arial" w:cs="Arial" w:eastAsia="Arial" w:hAnsi="Arial"/>
                <w:color w:val="444444"/>
                <w:sz w:val="18"/>
                <w:szCs w:val="18"/>
              </w:rPr>
              <w:t xml:space="preserve">2.  Teachers embed episode references in relevant subject area lessons (see Section 5).</w:t>
            </w:r>
          </w:p>
          <w:p>
            <w:pPr>
              <w:spacing w:after="60" w:before="0"/>
              <w:ind w:left="240"/>
            </w:pPr>
            <w:r>
              <w:rPr>
                <w:rFonts w:ascii="Arial" w:cs="Arial" w:eastAsia="Arial" w:hAnsi="Arial"/>
                <w:color w:val="444444"/>
                <w:sz w:val="18"/>
                <w:szCs w:val="18"/>
              </w:rPr>
              <w:t xml:space="preserve">3.  Students maintain Idea Notebooks as ATL evidence portfolios.</w:t>
            </w:r>
          </w:p>
          <w:p>
            <w:pPr>
              <w:spacing w:after="60" w:before="0"/>
              <w:ind w:left="240"/>
            </w:pPr>
            <w:r>
              <w:rPr>
                <w:rFonts w:ascii="Arial" w:cs="Arial" w:eastAsia="Arial" w:hAnsi="Arial"/>
                <w:color w:val="444444"/>
                <w:sz w:val="18"/>
                <w:szCs w:val="18"/>
              </w:rPr>
              <w:t xml:space="preserve">4.  Phase Reviews are assessed against MYP ATL criteria using the programme's assessment rubric (see Section 7).</w:t>
            </w:r>
          </w:p>
          <w:p>
            <w:pPr>
              <w:spacing w:after="60" w:before="0"/>
              <w:ind w:left="240"/>
            </w:pPr>
            <w:r>
              <w:rPr>
                <w:rFonts w:ascii="Arial" w:cs="Arial" w:eastAsia="Arial" w:hAnsi="Arial"/>
                <w:color w:val="444444"/>
                <w:sz w:val="18"/>
                <w:szCs w:val="18"/>
              </w:rPr>
              <w:t xml:space="preserve">5.  MYP Year 4–5 students use the Year-End Review as a Personal Project precursor.</w:t>
            </w:r>
          </w:p>
          <w:p>
            <w:pPr>
              <w:spacing w:after="60" w:before="0"/>
              <w:ind w:left="240"/>
            </w:pPr>
            <w:r>
              <w:rPr>
                <w:rFonts w:ascii="Arial" w:cs="Arial" w:eastAsia="Arial" w:hAnsi="Arial"/>
                <w:color w:val="444444"/>
                <w:sz w:val="18"/>
                <w:szCs w:val="18"/>
              </w:rPr>
              <w:t xml:space="preserve">6.  School reports on student ATL development using Idea Notebook evidence in student-led conferences.</w:t>
            </w:r>
          </w:p>
          <w:p>
            <w:pPr>
              <w:spacing w:after="0" w:before="100"/>
            </w:pPr>
            <w:r>
              <w:rPr>
                <w:rFonts w:ascii="Arial" w:cs="Arial" w:eastAsia="Arial" w:hAnsi="Arial"/>
                <w:color w:val="888888"/>
                <w:sz w:val="16"/>
                <w:szCs w:val="16"/>
              </w:rPr>
              <w:t xml:space="preserve">SUITABLE FOR:  MYP schools seeking structured ATL evidence · Schools with existing entrepreneurship or Design programmes · Schools pursuing community partnerships</w:t>
            </w:r>
          </w:p>
        </w:tc>
      </w:tr>
    </w:tbl>
    <w:p>
      <w:pPr>
        <w:spacing w:after="28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7: PORTFOLIO EVIDENCE AND MYP ASSESSMENT ALIGNMENT</w:t>
            </w:r>
          </w:p>
        </w:tc>
      </w:tr>
      <w:tr>
        <w:tc>
          <w:tcPr>
            <w:tcW w:type="dxa" w:w="10080"/>
            <w:tcBorders>
              <w:top w:val="none"/>
              <w:left w:val="none"/>
              <w:bottom w:val="none"/>
              <w:right w:val="none"/>
            </w:tcBorders>
            <w:shd w:fill="1F3864" w:val="clear"/>
            <w:tcMar>
              <w:top w:type="dxa" w:w="0"/>
              <w:left w:type="dxa" w:w="240"/>
              <w:bottom w:type="dxa" w:w="140"/>
              <w:right w:type="dxa" w:w="240"/>
            </w:tcMar>
          </w:tcPr>
          <w:p>
            <w:pPr>
              <w:jc w:val="center"/>
            </w:pPr>
            <w:r>
              <w:rPr>
                <w:rFonts w:ascii="Arial" w:cs="Arial" w:eastAsia="Arial" w:hAnsi="Arial"/>
                <w:color w:val="BBCCDD"/>
                <w:sz w:val="17"/>
                <w:szCs w:val="17"/>
              </w:rPr>
              <w:t xml:space="preserve">Idea Notebook · MYP Criteria · ATL Evidence</w:t>
            </w:r>
          </w:p>
        </w:tc>
      </w:tr>
    </w:tbl>
    <w:p>
      <w:pPr>
        <w:spacing w:after="320" w:before="0"/>
      </w:pPr>
    </w:p>
    <w:p>
      <w:pPr>
        <w:spacing w:after="160" w:before="0" w:line="290" w:lineRule="auto"/>
        <w:jc w:val="both"/>
      </w:pPr>
      <w:r>
        <w:rPr>
          <w:rFonts w:ascii="Arial" w:cs="Arial" w:eastAsia="Arial" w:hAnsi="Arial"/>
          <w:b w:val="false"/>
          <w:bCs w:val="false"/>
          <w:i w:val="false"/>
          <w:iCs w:val="false"/>
          <w:color w:val="444444"/>
          <w:sz w:val="20"/>
          <w:szCs w:val="20"/>
        </w:rPr>
        <w:t xml:space="preserve">The Idea Notebook is the primary portfolio tool of the SimpleJoy | SaralAnand programme. Maintained across all 52 weeks, it provides structured, dated evidence of student growth across all five ATL skill categories and all ten IB Learner Profile attributes. It is suitable for use as portfolio evidence in MYP student-led conferences and personal project processes.</w:t>
      </w:r>
    </w:p>
    <w:p>
      <w:pPr>
        <w:spacing w:after="240" w:before="0"/>
      </w:pPr>
    </w:p>
    <w:p>
      <w:pPr>
        <w:spacing w:after="90" w:before="240"/>
      </w:pPr>
      <w:r>
        <w:rPr>
          <w:rFonts w:ascii="Arial" w:cs="Arial" w:eastAsia="Arial" w:hAnsi="Arial"/>
          <w:b/>
          <w:bCs/>
          <w:color w:val="1F3864"/>
          <w:sz w:val="22"/>
          <w:szCs w:val="22"/>
        </w:rPr>
        <w:t xml:space="preserve">Idea Notebook as MYP Portfolio Evidence</w:t>
      </w:r>
    </w:p>
    <w:p>
      <w:pPr>
        <w:spacing w:after="160" w:before="0"/>
      </w:pPr>
    </w:p>
    <w:tbl>
      <w:tblPr>
        <w:tblW w:type="dxa" w:w="10400"/>
        <w:tblBorders>
          <w:top w:val="single" w:color="auto" w:sz="4"/>
          <w:left w:val="single" w:color="auto" w:sz="4"/>
          <w:bottom w:val="single" w:color="auto" w:sz="4"/>
          <w:right w:val="single" w:color="auto" w:sz="4"/>
          <w:insideH w:val="single" w:color="auto" w:sz="4"/>
          <w:insideV w:val="single" w:color="auto" w:sz="4"/>
        </w:tblBorders>
      </w:tblPr>
      <w:tblGrid>
        <w:gridCol w:w="2400"/>
        <w:gridCol w:w="3000"/>
        <w:gridCol w:w="5000"/>
      </w:tblGrid>
      <w:tr>
        <w:tc>
          <w:tcPr>
            <w:tcW w:type="dxa" w:w="24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Idea Notebook Section</w:t>
            </w:r>
          </w:p>
        </w:tc>
        <w:tc>
          <w:tcPr>
            <w:tcW w:type="dxa" w:w="30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MYP Assessment Connection</w:t>
            </w:r>
          </w:p>
        </w:tc>
        <w:tc>
          <w:tcPr>
            <w:tcW w:type="dxa" w:w="50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Evidence Available</w:t>
            </w:r>
          </w:p>
        </w:tc>
      </w:tr>
      <w:tr>
        <w:tc>
          <w:tcPr>
            <w:tcW w:type="dxa" w:w="24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Weekly Noticing Entry (dated)</w:t>
            </w:r>
          </w:p>
        </w:tc>
        <w:tc>
          <w:tcPr>
            <w:tcW w:type="dxa" w:w="30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7"/>
                <w:szCs w:val="17"/>
              </w:rPr>
              <w:t xml:space="preserve">ATL — Thinking skills: critical thinking; Self-management: reflection</w:t>
            </w:r>
          </w:p>
        </w:tc>
        <w:tc>
          <w:tcPr>
            <w:tcW w:type="dxa" w:w="50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52 dated entries showing development of observation and analytical capacity over the year</w:t>
            </w:r>
          </w:p>
        </w:tc>
      </w:tr>
      <w:tr>
        <w:tc>
          <w:tcPr>
            <w:tcW w:type="dxa" w:w="2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Open Questions Record</w:t>
            </w:r>
          </w:p>
        </w:tc>
        <w:tc>
          <w:tcPr>
            <w:tcW w:type="dxa" w:w="3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7"/>
                <w:szCs w:val="17"/>
              </w:rPr>
              <w:t xml:space="preserve">ATL — Research skills: information literacy; Thinking: inquiry</w:t>
            </w:r>
          </w:p>
        </w:tc>
        <w:tc>
          <w:tcPr>
            <w:tcW w:type="dxa" w:w="5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Progressive development of question quality — from descriptive to analytical to evaluative</w:t>
            </w:r>
          </w:p>
        </w:tc>
      </w:tr>
      <w:tr>
        <w:tc>
          <w:tcPr>
            <w:tcW w:type="dxa" w:w="24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Experiment Log
(What tried · What happened · What learned)</w:t>
            </w:r>
          </w:p>
        </w:tc>
        <w:tc>
          <w:tcPr>
            <w:tcW w:type="dxa" w:w="30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7"/>
                <w:szCs w:val="17"/>
              </w:rPr>
              <w:t xml:space="preserve">ATL — Thinking skills: transfer; MYP Sciences: Criterion B (Inquiring and designing)</w:t>
            </w:r>
          </w:p>
        </w:tc>
        <w:tc>
          <w:tcPr>
            <w:tcW w:type="dxa" w:w="50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Direct evidence of scientific inquiry methodology applied in real-world contexts</w:t>
            </w:r>
          </w:p>
        </w:tc>
      </w:tr>
      <w:tr>
        <w:tc>
          <w:tcPr>
            <w:tcW w:type="dxa" w:w="2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Idea Capture (dot-grid)</w:t>
            </w:r>
          </w:p>
        </w:tc>
        <w:tc>
          <w:tcPr>
            <w:tcW w:type="dxa" w:w="3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7"/>
                <w:szCs w:val="17"/>
              </w:rPr>
              <w:t xml:space="preserve">ATL — Thinking skills: creative thinking; MYP Design: Criterion A</w:t>
            </w:r>
          </w:p>
        </w:tc>
        <w:tc>
          <w:tcPr>
            <w:tcW w:type="dxa" w:w="5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Visual and conceptual records of idea generation across the year</w:t>
            </w:r>
          </w:p>
        </w:tc>
      </w:tr>
      <w:tr>
        <w:tc>
          <w:tcPr>
            <w:tcW w:type="dxa" w:w="24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Three Questions Reflection
(weekly)</w:t>
            </w:r>
          </w:p>
        </w:tc>
        <w:tc>
          <w:tcPr>
            <w:tcW w:type="dxa" w:w="30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7"/>
                <w:szCs w:val="17"/>
              </w:rPr>
              <w:t xml:space="preserve">ATL — Thinking skills: critical and creative; MYP all subjects: self-assessment</w:t>
            </w:r>
          </w:p>
        </w:tc>
        <w:tc>
          <w:tcPr>
            <w:tcW w:type="dxa" w:w="50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52 structured self-assessments aligned to any MYP subject's reflective criteria</w:t>
            </w:r>
          </w:p>
        </w:tc>
      </w:tr>
      <w:tr>
        <w:tc>
          <w:tcPr>
            <w:tcW w:type="dxa" w:w="2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Four Jars Money Record</w:t>
            </w:r>
          </w:p>
        </w:tc>
        <w:tc>
          <w:tcPr>
            <w:tcW w:type="dxa" w:w="3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7"/>
                <w:szCs w:val="17"/>
              </w:rPr>
              <w:t xml:space="preserve">MYP Mathematics: Criterion C (Communicating); MYP Individuals and Societies</w:t>
            </w:r>
          </w:p>
        </w:tc>
        <w:tc>
          <w:tcPr>
            <w:tcW w:type="dxa" w:w="5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Quantitative data management with real financial implications</w:t>
            </w:r>
          </w:p>
        </w:tc>
      </w:tr>
      <w:tr>
        <w:tc>
          <w:tcPr>
            <w:tcW w:type="dxa" w:w="24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Phase Reviews
(Weeks 13, 26, 39, 52)</w:t>
            </w:r>
          </w:p>
        </w:tc>
        <w:tc>
          <w:tcPr>
            <w:tcW w:type="dxa" w:w="30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7"/>
                <w:szCs w:val="17"/>
              </w:rPr>
              <w:t xml:space="preserve">MYP: Summative reflection; ATL — all five categories; Personal Project process journal</w:t>
            </w:r>
          </w:p>
        </w:tc>
        <w:tc>
          <w:tcPr>
            <w:tcW w:type="dxa" w:w="50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Four structured milestone reviews equivalent to a year-long process portfolio</w:t>
            </w:r>
          </w:p>
        </w:tc>
      </w:tr>
      <w:tr>
        <w:tc>
          <w:tcPr>
            <w:tcW w:type="dxa" w:w="2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Year-End Letter
(Week 52)</w:t>
            </w:r>
          </w:p>
        </w:tc>
        <w:tc>
          <w:tcPr>
            <w:tcW w:type="dxa" w:w="3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iCs/>
                <w:color w:val="444444"/>
                <w:sz w:val="17"/>
                <w:szCs w:val="17"/>
              </w:rPr>
              <w:t xml:space="preserve">MYP Personal Project: Criterion D (Reflecting); ATL — all categories</w:t>
            </w:r>
          </w:p>
        </w:tc>
        <w:tc>
          <w:tcPr>
            <w:tcW w:type="dxa" w:w="50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Comprehensive year-long synthesis document — suitable as Personal Project precursor</w:t>
            </w:r>
          </w:p>
        </w:tc>
      </w:tr>
    </w:tbl>
    <w:p>
      <w:pPr>
        <w:spacing w:after="320" w:before="0"/>
      </w:pPr>
    </w:p>
    <w:p>
      <w:pPr>
        <w:spacing w:after="90" w:before="240"/>
      </w:pPr>
      <w:r>
        <w:rPr>
          <w:rFonts w:ascii="Arial" w:cs="Arial" w:eastAsia="Arial" w:hAnsi="Arial"/>
          <w:b/>
          <w:bCs/>
          <w:color w:val="1F3864"/>
          <w:sz w:val="22"/>
          <w:szCs w:val="22"/>
        </w:rPr>
        <w:t xml:space="preserve">Assessment Rubric — ATL Evidence Rating</w:t>
      </w:r>
    </w:p>
    <w:p>
      <w:pPr>
        <w:spacing w:after="160" w:before="0" w:line="290" w:lineRule="auto"/>
        <w:jc w:val="both"/>
      </w:pPr>
      <w:r>
        <w:rPr>
          <w:rFonts w:ascii="Arial" w:cs="Arial" w:eastAsia="Arial" w:hAnsi="Arial"/>
          <w:b w:val="false"/>
          <w:bCs w:val="false"/>
          <w:i w:val="false"/>
          <w:iCs w:val="false"/>
          <w:color w:val="444444"/>
          <w:sz w:val="20"/>
          <w:szCs w:val="20"/>
        </w:rPr>
        <w:t xml:space="preserve">The following rubric can be used by IB teachers or coordinators to evaluate student Idea Notebooks as ATL evidence. It is aligned to the MYP ATL skills framework and the PYP approaches to learning.</w:t>
      </w:r>
    </w:p>
    <w:p>
      <w:pPr>
        <w:spacing w:after="160" w:before="0"/>
      </w:pP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2400"/>
        <w:gridCol w:w="240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ATL Category</w:t>
            </w:r>
          </w:p>
        </w:tc>
        <w:tc>
          <w:tcPr>
            <w:tcW w:type="dxa" w:w="2400"/>
            <w:tcBorders>
              <w:top w:val="single" w:color="CCCCCC" w:sz="2"/>
              <w:left w:val="single" w:color="CCCCCC" w:sz="2"/>
              <w:bottom w:val="single" w:color="CCCCCC" w:sz="2"/>
              <w:right w:val="single" w:color="CCCCCC" w:sz="2"/>
            </w:tcBorders>
            <w:shd w:fill="2C5F2E" w:val="clear"/>
            <w:tcMar>
              <w:top w:type="dxa" w:w="100"/>
              <w:left w:type="dxa" w:w="110"/>
              <w:bottom w:type="dxa" w:w="100"/>
              <w:right w:type="dxa" w:w="110"/>
            </w:tcMar>
          </w:tcPr>
          <w:p>
            <w:r>
              <w:rPr>
                <w:rFonts w:ascii="Arial" w:cs="Arial" w:eastAsia="Arial" w:hAnsi="Arial"/>
                <w:b/>
                <w:bCs/>
                <w:color w:val="FFFFFF"/>
                <w:sz w:val="17"/>
                <w:szCs w:val="17"/>
              </w:rPr>
              <w:t xml:space="preserve">Emerging (1–2)</w:t>
            </w:r>
          </w:p>
        </w:tc>
        <w:tc>
          <w:tcPr>
            <w:tcW w:type="dxa" w:w="2400"/>
            <w:tcBorders>
              <w:top w:val="single" w:color="CCCCCC" w:sz="2"/>
              <w:left w:val="single" w:color="CCCCCC" w:sz="2"/>
              <w:bottom w:val="single" w:color="CCCCCC" w:sz="2"/>
              <w:right w:val="single" w:color="CCCCCC" w:sz="2"/>
            </w:tcBorders>
            <w:shd w:fill="1F3864" w:val="clear"/>
            <w:tcMar>
              <w:top w:type="dxa" w:w="100"/>
              <w:left w:type="dxa" w:w="110"/>
              <w:bottom w:type="dxa" w:w="100"/>
              <w:right w:type="dxa" w:w="110"/>
            </w:tcMar>
          </w:tcPr>
          <w:p>
            <w:r>
              <w:rPr>
                <w:rFonts w:ascii="Arial" w:cs="Arial" w:eastAsia="Arial" w:hAnsi="Arial"/>
                <w:b/>
                <w:bCs/>
                <w:color w:val="FFFFFF"/>
                <w:sz w:val="17"/>
                <w:szCs w:val="17"/>
              </w:rPr>
              <w:t xml:space="preserve">Developing (3–4)</w:t>
            </w:r>
          </w:p>
        </w:tc>
        <w:tc>
          <w:tcPr>
            <w:tcW w:type="dxa" w:w="2400"/>
            <w:tcBorders>
              <w:top w:val="single" w:color="CCCCCC" w:sz="2"/>
              <w:left w:val="single" w:color="CCCCCC" w:sz="2"/>
              <w:bottom w:val="single" w:color="CCCCCC" w:sz="2"/>
              <w:right w:val="single" w:color="CCCCCC" w:sz="2"/>
            </w:tcBorders>
            <w:shd w:fill="4A3080" w:val="clear"/>
            <w:tcMar>
              <w:top w:type="dxa" w:w="100"/>
              <w:left w:type="dxa" w:w="110"/>
              <w:bottom w:type="dxa" w:w="100"/>
              <w:right w:type="dxa" w:w="110"/>
            </w:tcMar>
          </w:tcPr>
          <w:p>
            <w:r>
              <w:rPr>
                <w:rFonts w:ascii="Arial" w:cs="Arial" w:eastAsia="Arial" w:hAnsi="Arial"/>
                <w:b/>
                <w:bCs/>
                <w:color w:val="FFFFFF"/>
                <w:sz w:val="17"/>
                <w:szCs w:val="17"/>
              </w:rPr>
              <w:t xml:space="preserve">Proficient (5–6)</w:t>
            </w:r>
          </w:p>
        </w:tc>
      </w:tr>
      <w:tr>
        <w:tc>
          <w:tcPr>
            <w:tcW w:type="dxa" w:w="22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Thinking Skills</w:t>
            </w:r>
          </w:p>
        </w:tc>
        <w:tc>
          <w:tcPr>
            <w:tcW w:type="dxa" w:w="2400"/>
            <w:tcBorders>
              <w:top w:val="single" w:color="CCCCCC" w:sz="2"/>
              <w:left w:val="single" w:color="CCCCCC" w:sz="2"/>
              <w:bottom w:val="single" w:color="CCCCCC" w:sz="2"/>
              <w:right w:val="single" w:color="CCCCCC" w:sz="2"/>
            </w:tcBorders>
            <w:shd w:fill="F5FBF5"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Observations are descriptive. Questions restate the problem.</w:t>
            </w:r>
          </w:p>
        </w:tc>
        <w:tc>
          <w:tcPr>
            <w:tcW w:type="dxa" w:w="2400"/>
            <w:tcBorders>
              <w:top w:val="single" w:color="CCCCCC" w:sz="2"/>
              <w:left w:val="single" w:color="CCCCCC" w:sz="2"/>
              <w:bottom w:val="single" w:color="CCCCCC" w:sz="2"/>
              <w:right w:val="single" w:color="CCCCCC" w:sz="2"/>
            </w:tcBorders>
            <w:shd w:fill="EAF0FA"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Observations include some analysis. Questions show genuine curiosity.</w:t>
            </w:r>
          </w:p>
        </w:tc>
        <w:tc>
          <w:tcPr>
            <w:tcW w:type="dxa" w:w="2400"/>
            <w:tcBorders>
              <w:top w:val="single" w:color="CCCCCC" w:sz="2"/>
              <w:left w:val="single" w:color="CCCCCC" w:sz="2"/>
              <w:bottom w:val="single" w:color="CCCCCC" w:sz="2"/>
              <w:right w:val="single" w:color="CCCCCC" w:sz="2"/>
            </w:tcBorders>
            <w:shd w:fill="F0EDFB"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Observations are specific and insightful. Questions are evaluative and generative.</w:t>
            </w:r>
          </w:p>
        </w:tc>
      </w:tr>
      <w:tr>
        <w:tc>
          <w:tcPr>
            <w:tcW w:type="dxa" w:w="22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Communication</w:t>
            </w:r>
          </w:p>
        </w:tc>
        <w:tc>
          <w:tcPr>
            <w:tcW w:type="dxa" w:w="2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Entries are brief. Ideas are listed without explanation.</w:t>
            </w:r>
          </w:p>
        </w:tc>
        <w:tc>
          <w:tcPr>
            <w:tcW w:type="dxa" w:w="2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Entries explain ideas with some supporting reasoning.</w:t>
            </w:r>
          </w:p>
        </w:tc>
        <w:tc>
          <w:tcPr>
            <w:tcW w:type="dxa" w:w="2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Entries communicate ideas clearly, with evidence and audience awareness.</w:t>
            </w:r>
          </w:p>
        </w:tc>
      </w:tr>
      <w:tr>
        <w:tc>
          <w:tcPr>
            <w:tcW w:type="dxa" w:w="22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Social Skills</w:t>
            </w:r>
          </w:p>
        </w:tc>
        <w:tc>
          <w:tcPr>
            <w:tcW w:type="dxa" w:w="2400"/>
            <w:tcBorders>
              <w:top w:val="single" w:color="CCCCCC" w:sz="2"/>
              <w:left w:val="single" w:color="CCCCCC" w:sz="2"/>
              <w:bottom w:val="single" w:color="CCCCCC" w:sz="2"/>
              <w:right w:val="single" w:color="CCCCCC" w:sz="2"/>
            </w:tcBorders>
            <w:shd w:fill="F5FBF5"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Home challenges completed individually. Little evidence of collaboration.</w:t>
            </w:r>
          </w:p>
        </w:tc>
        <w:tc>
          <w:tcPr>
            <w:tcW w:type="dxa" w:w="2400"/>
            <w:tcBorders>
              <w:top w:val="single" w:color="CCCCCC" w:sz="2"/>
              <w:left w:val="single" w:color="CCCCCC" w:sz="2"/>
              <w:bottom w:val="single" w:color="CCCCCC" w:sz="2"/>
              <w:right w:val="single" w:color="CCCCCC" w:sz="2"/>
            </w:tcBorders>
            <w:shd w:fill="EAF0FA"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Home challenges completed with family. Some evidence of perspective-taking.</w:t>
            </w:r>
          </w:p>
        </w:tc>
        <w:tc>
          <w:tcPr>
            <w:tcW w:type="dxa" w:w="2400"/>
            <w:tcBorders>
              <w:top w:val="single" w:color="CCCCCC" w:sz="2"/>
              <w:left w:val="single" w:color="CCCCCC" w:sz="2"/>
              <w:bottom w:val="single" w:color="CCCCCC" w:sz="2"/>
              <w:right w:val="single" w:color="CCCCCC" w:sz="2"/>
            </w:tcBorders>
            <w:shd w:fill="F0EDFB"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Home challenges show genuine collaboration. Mentor Map and Collaboration entries show empathy and leadership.</w:t>
            </w:r>
          </w:p>
        </w:tc>
      </w:tr>
      <w:tr>
        <w:tc>
          <w:tcPr>
            <w:tcW w:type="dxa" w:w="22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Self-management</w:t>
            </w:r>
          </w:p>
        </w:tc>
        <w:tc>
          <w:tcPr>
            <w:tcW w:type="dxa" w:w="2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Box Breathing recorded inconsistently. Time entries incomplete.</w:t>
            </w:r>
          </w:p>
        </w:tc>
        <w:tc>
          <w:tcPr>
            <w:tcW w:type="dxa" w:w="2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Box Breathing recorded consistently. Time Audit shows awareness of priorities.</w:t>
            </w:r>
          </w:p>
        </w:tc>
        <w:tc>
          <w:tcPr>
            <w:tcW w:type="dxa" w:w="2400"/>
            <w:tcBorders>
              <w:top w:val="single" w:color="CCCCCC" w:sz="2"/>
              <w:left w:val="single" w:color="CCCCCC" w:sz="2"/>
              <w:bottom w:val="single" w:color="CCCCCC" w:sz="2"/>
              <w:right w:val="single" w:color="CCCCCC" w:sz="2"/>
            </w:tcBorders>
            <w:shd w:fill="FFFFFF"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Box Breathing embedded as daily practice. Time Audit and Priority Matrix show strategic self-management.</w:t>
            </w:r>
          </w:p>
        </w:tc>
      </w:tr>
      <w:tr>
        <w:tc>
          <w:tcPr>
            <w:tcW w:type="dxa" w:w="2200"/>
            <w:tcBorders>
              <w:top w:val="single" w:color="CCCCCC" w:sz="2"/>
              <w:left w:val="single" w:color="CCCCCC" w:sz="2"/>
              <w:bottom w:val="single" w:color="CCCCCC" w:sz="2"/>
              <w:right w:val="single" w:color="CCCCCC" w:sz="2"/>
            </w:tcBorders>
            <w:shd w:fill="FDF6E3" w:val="clear"/>
            <w:tcMar>
              <w:top w:type="dxa" w:w="80"/>
              <w:left w:type="dxa" w:w="110"/>
              <w:bottom w:type="dxa" w:w="80"/>
              <w:right w:type="dxa" w:w="110"/>
            </w:tcMar>
          </w:tcPr>
          <w:p>
            <w:pPr>
              <w:spacing w:after="50" w:before="0" w:line="265" w:lineRule="auto"/>
            </w:pPr>
            <w:r>
              <w:rPr>
                <w:rFonts w:ascii="Arial" w:cs="Arial" w:eastAsia="Arial" w:hAnsi="Arial"/>
                <w:b/>
                <w:bCs/>
                <w:i w:val="false"/>
                <w:iCs w:val="false"/>
                <w:color w:val="1F3864"/>
                <w:sz w:val="17"/>
                <w:szCs w:val="17"/>
              </w:rPr>
              <w:t xml:space="preserve">Research Skills</w:t>
            </w:r>
          </w:p>
        </w:tc>
        <w:tc>
          <w:tcPr>
            <w:tcW w:type="dxa" w:w="2400"/>
            <w:tcBorders>
              <w:top w:val="single" w:color="CCCCCC" w:sz="2"/>
              <w:left w:val="single" w:color="CCCCCC" w:sz="2"/>
              <w:bottom w:val="single" w:color="CCCCCC" w:sz="2"/>
              <w:right w:val="single" w:color="CCCCCC" w:sz="2"/>
            </w:tcBorders>
            <w:shd w:fill="F5FBF5"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Noticing entries are general observations.</w:t>
            </w:r>
          </w:p>
        </w:tc>
        <w:tc>
          <w:tcPr>
            <w:tcW w:type="dxa" w:w="2400"/>
            <w:tcBorders>
              <w:top w:val="single" w:color="CCCCCC" w:sz="2"/>
              <w:left w:val="single" w:color="CCCCCC" w:sz="2"/>
              <w:bottom w:val="single" w:color="CCCCCC" w:sz="2"/>
              <w:right w:val="single" w:color="CCCCCC" w:sz="2"/>
            </w:tcBorders>
            <w:shd w:fill="EAF0FA"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Noticing entries show specific, contextual observation with follow-up questions.</w:t>
            </w:r>
          </w:p>
        </w:tc>
        <w:tc>
          <w:tcPr>
            <w:tcW w:type="dxa" w:w="2400"/>
            <w:tcBorders>
              <w:top w:val="single" w:color="CCCCCC" w:sz="2"/>
              <w:left w:val="single" w:color="CCCCCC" w:sz="2"/>
              <w:bottom w:val="single" w:color="CCCCCC" w:sz="2"/>
              <w:right w:val="single" w:color="CCCCCC" w:sz="2"/>
            </w:tcBorders>
            <w:shd w:fill="F0EDFB" w:val="clear"/>
            <w:tcMar>
              <w:top w:type="dxa" w:w="80"/>
              <w:left w:type="dxa" w:w="110"/>
              <w:bottom w:type="dxa" w:w="80"/>
              <w:right w:type="dxa" w:w="110"/>
            </w:tcMar>
          </w:tcPr>
          <w:p>
            <w:pPr>
              <w:spacing w:after="50" w:before="0" w:line="265" w:lineRule="auto"/>
            </w:pPr>
            <w:r>
              <w:rPr>
                <w:rFonts w:ascii="Arial" w:cs="Arial" w:eastAsia="Arial" w:hAnsi="Arial"/>
                <w:b w:val="false"/>
                <w:bCs w:val="false"/>
                <w:i w:val="false"/>
                <w:iCs w:val="false"/>
                <w:color w:val="444444"/>
                <w:sz w:val="17"/>
                <w:szCs w:val="17"/>
              </w:rPr>
              <w:t xml:space="preserve">Experiment Log shows systematic research design. Stranger Test shows critical evaluation. Sources are diverse.</w:t>
            </w:r>
          </w:p>
        </w:tc>
      </w:tr>
    </w:tbl>
    <w:p>
      <w:pPr>
        <w:spacing w:after="40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160"/>
              <w:right w:type="dxa" w:w="240"/>
            </w:tcMar>
          </w:tcPr>
          <w:p>
            <w:pPr>
              <w:jc w:val="center"/>
            </w:pPr>
            <w:r>
              <w:rPr>
                <w:rFonts w:ascii="Arial" w:cs="Arial" w:eastAsia="Arial" w:hAnsi="Arial"/>
                <w:b/>
                <w:bCs/>
                <w:color w:val="FFFFFF"/>
                <w:sz w:val="20"/>
                <w:szCs w:val="20"/>
              </w:rPr>
              <w:t xml:space="preserve">CONTACT AND NEXT STEPS</w:t>
            </w:r>
          </w:p>
        </w:tc>
      </w:tr>
    </w:tbl>
    <w:p>
      <w:pPr>
        <w:spacing w:after="32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B8860B" w:sz="4"/>
              <w:left w:val="single" w:color="B8860B" w:sz="14"/>
              <w:bottom w:val="single" w:color="B8860B" w:sz="4"/>
              <w:right w:val="none"/>
            </w:tcBorders>
            <w:shd w:fill="FDF6E3" w:val="clear"/>
            <w:tcMar>
              <w:top w:type="dxa" w:w="130"/>
              <w:left w:type="dxa" w:w="220"/>
              <w:bottom w:type="dxa" w:w="130"/>
              <w:right w:type="dxa" w:w="200"/>
            </w:tcMar>
          </w:tcPr>
          <w:p>
            <w:pPr>
              <w:spacing w:after="70" w:before="0" w:line="270" w:lineRule="auto"/>
            </w:pPr>
            <w:r>
              <w:rPr>
                <w:rFonts w:ascii="Arial" w:cs="Arial" w:eastAsia="Arial" w:hAnsi="Arial"/>
                <w:color w:val="444444"/>
                <w:sz w:val="19"/>
                <w:szCs w:val="19"/>
              </w:rPr>
              <w:t xml:space="preserve">WEBSITE: simplejoyfamily.com</w:t>
            </w:r>
          </w:p>
          <w:p>
            <w:pPr>
              <w:spacing w:after="70" w:before="0" w:line="270" w:lineRule="auto"/>
            </w:pPr>
            <w:r>
              <w:rPr>
                <w:rFonts w:ascii="Arial" w:cs="Arial" w:eastAsia="Arial" w:hAnsi="Arial"/>
                <w:color w:val="444444"/>
                <w:sz w:val="19"/>
                <w:szCs w:val="19"/>
              </w:rPr>
              <w:t xml:space="preserve">PROGRAMME: Free weekly videos at youtube.com — #UdyamMaa_EntrepreneurialParent (parents) · #UdyamMe_EntrepreneurialChild (children)</w:t>
            </w:r>
          </w:p>
          <w:p>
            <w:pPr>
              <w:spacing w:after="70" w:before="0" w:line="270" w:lineRule="auto"/>
            </w:pPr>
            <w:r>
              <w:rPr>
                <w:rFonts w:ascii="Arial" w:cs="Arial" w:eastAsia="Arial" w:hAnsi="Arial"/>
                <w:color w:val="444444"/>
                <w:sz w:val="19"/>
                <w:szCs w:val="19"/>
              </w:rPr>
              <w:t xml:space="preserve">BOOKS: Raising An Entrepreneur: SimpleJoy | SaralAnand · The Kitchen Table Entrepreneur: SimpleJoy | SaralAnand (Kindle)</w:t>
            </w:r>
          </w:p>
          <w:p>
            <w:pPr>
              <w:spacing w:after="70" w:before="0" w:line="270" w:lineRule="auto"/>
            </w:pPr>
            <w:r>
              <w:rPr>
                <w:rFonts w:ascii="Arial" w:cs="Arial" w:eastAsia="Arial" w:hAnsi="Arial"/>
                <w:color w:val="444444"/>
                <w:sz w:val="19"/>
                <w:szCs w:val="19"/>
              </w:rPr>
              <w:t xml:space="preserve">SCHOOL ENQUIRIES: Contact via simplejoyfamily.com/contact — select "School or curriculum" as enquiry type</w:t>
            </w:r>
          </w:p>
          <w:p>
            <w:pPr>
              <w:spacing w:after="70" w:before="0" w:line="270" w:lineRule="auto"/>
            </w:pPr>
            <w:r>
              <w:rPr>
                <w:rFonts w:ascii="Arial" w:cs="Arial" w:eastAsia="Arial" w:hAnsi="Arial"/>
                <w:color w:val="444444"/>
                <w:sz w:val="19"/>
                <w:szCs w:val="19"/>
              </w:rPr>
              <w:t xml:space="preserve">WORKSHOP: The 90-minute parent workshop is available for school communities — contact via simplejoyfamily.com</w:t>
            </w:r>
          </w:p>
          <w:p>
            <w:pPr>
              <w:spacing w:after="70" w:before="0" w:line="270" w:lineRule="auto"/>
            </w:pPr>
            <w:r>
              <w:rPr>
                <w:rFonts w:ascii="Arial" w:cs="Arial" w:eastAsia="Arial" w:hAnsi="Arial"/>
                <w:color w:val="444444"/>
                <w:sz w:val="19"/>
                <w:szCs w:val="19"/>
              </w:rPr>
              <w:t xml:space="preserve">FULL MAPPING: The complete 52-week IB curriculum mapping document (all episodes) is available on request</w:t>
            </w:r>
          </w:p>
        </w:tc>
      </w:tr>
    </w:tbl>
    <w:p>
      <w:pPr>
        <w:spacing w:after="320" w:before="0"/>
      </w:pPr>
    </w:p>
    <w:p>
      <w:pPr>
        <w:spacing w:after="200" w:before="0" w:line="290" w:lineRule="auto"/>
        <w:jc w:val="both"/>
      </w:pPr>
      <w:r>
        <w:rPr>
          <w:rFonts w:ascii="Arial" w:cs="Arial" w:eastAsia="Arial" w:hAnsi="Arial"/>
          <w:b w:val="false"/>
          <w:bCs w:val="false"/>
          <w:i w:val="false"/>
          <w:iCs w:val="false"/>
          <w:color w:val="444444"/>
          <w:sz w:val="20"/>
          <w:szCs w:val="20"/>
        </w:rPr>
        <w:t xml:space="preserve">SimpleJoy | SaralAnand was begun on August 15, 1982 — India's 35th Independence Anniversary — and completed on July 4, 2026 — America's 250th Independence Anniversary. It is designed for every family on earth. The alignment to the IB framework is not retrospective — it reflects a shared conviction that the development of curious, resilient, ethical, communicative, and principled young people is the work of families and schools together.</w:t>
      </w:r>
    </w:p>
    <w:p>
      <w:pPr>
        <w:spacing w:after="80" w:before="0"/>
        <w:jc w:val="center"/>
      </w:pPr>
      <w:r>
        <w:rPr>
          <w:rFonts w:ascii="Georgia" w:cs="Georgia" w:eastAsia="Georgia" w:hAnsi="Georgia"/>
          <w:color w:val="1F3864"/>
          <w:sz w:val="22"/>
          <w:szCs w:val="22"/>
        </w:rPr>
        <w:t xml:space="preserve">"Don't be awed. Create awe."</w:t>
      </w:r>
    </w:p>
    <w:p>
      <w:pPr>
        <w:spacing w:after="60" w:before="0"/>
        <w:jc w:val="center"/>
      </w:pPr>
      <w:r>
        <w:rPr>
          <w:rFonts w:ascii="Arial" w:cs="Arial" w:eastAsia="Arial" w:hAnsi="Arial"/>
          <w:b/>
          <w:bCs/>
          <w:color w:val="1F3864"/>
          <w:sz w:val="20"/>
          <w:szCs w:val="20"/>
        </w:rPr>
        <w:t xml:space="preserve">Vishnu Shanker and Nivedita Shanker</w:t>
      </w:r>
    </w:p>
    <w:p>
      <w:pPr>
        <w:spacing w:after="0" w:before="0"/>
        <w:jc w:val="center"/>
      </w:pPr>
      <w:r>
        <w:rPr>
          <w:rFonts w:ascii="Arial" w:cs="Arial" w:eastAsia="Arial" w:hAnsi="Arial"/>
          <w:color w:val="888888"/>
          <w:sz w:val="17"/>
          <w:szCs w:val="17"/>
        </w:rPr>
        <w:t xml:space="preserve">SimpleJoy | SaralAnand Foundation  ·  simplejoyfamily.com</w:t>
      </w:r>
    </w:p>
    <w:sectPr>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2026-07-13T17:09:15.616Z</dcterms:created>
  <dcterms:modified xsi:type="dcterms:W3CDTF">2026-07-13T17:09:15.616Z</dcterms:modified>
</cp:coreProperties>
</file>

<file path=docProps/custom.xml><?xml version="1.0" encoding="utf-8"?>
<Properties xmlns="http://schemas.openxmlformats.org/officeDocument/2006/custom-properties" xmlns:vt="http://schemas.openxmlformats.org/officeDocument/2006/docPropsVTypes"/>
</file>