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160"/>
              <w:right w:type="dxa" w:w="240"/>
            </w:tcMar>
          </w:tcPr>
          <w:p>
            <w:pPr>
              <w:jc w:val="center"/>
            </w:pPr>
            <w:r>
              <w:rPr>
                <w:rFonts w:ascii="Arial" w:cs="Arial" w:eastAsia="Arial" w:hAnsi="Arial"/>
                <w:b/>
                <w:bCs/>
                <w:color w:val="B8860B"/>
                <w:sz w:val="18"/>
                <w:szCs w:val="18"/>
              </w:rPr>
              <w:t xml:space="preserve">SimpleJoy | SaralAnand Foundation</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8B1A1A" w:val="clear"/>
            <w:tcMar>
              <w:top w:type="dxa" w:w="160"/>
              <w:left w:type="dxa" w:w="240"/>
              <w:bottom w:type="dxa" w:w="80"/>
              <w:right w:type="dxa" w:w="240"/>
            </w:tcMar>
          </w:tcPr>
          <w:p>
            <w:pPr>
              <w:jc w:val="center"/>
            </w:pPr>
            <w:r>
              <w:rPr>
                <w:rFonts w:ascii="Arial" w:cs="Arial" w:eastAsia="Arial" w:hAnsi="Arial"/>
                <w:b/>
                <w:bCs/>
                <w:color w:val="FFFFFF"/>
                <w:sz w:val="24"/>
                <w:szCs w:val="24"/>
              </w:rPr>
              <w:t xml:space="preserve">COMMON CORE STATE STANDARDS</w:t>
            </w:r>
          </w:p>
        </w:tc>
      </w:tr>
      <w:tr>
        <w:tc>
          <w:tcPr>
            <w:tcW w:type="dxa" w:w="10080"/>
            <w:tcBorders>
              <w:top w:val="none"/>
              <w:left w:val="none"/>
              <w:bottom w:val="none"/>
              <w:right w:val="none"/>
            </w:tcBorders>
            <w:shd w:fill="8B1A1A" w:val="clear"/>
            <w:tcMar>
              <w:top w:type="dxa" w:w="0"/>
              <w:left w:type="dxa" w:w="240"/>
              <w:bottom w:type="dxa" w:w="130"/>
              <w:right w:type="dxa" w:w="240"/>
            </w:tcMar>
          </w:tcPr>
          <w:p>
            <w:pPr>
              <w:jc w:val="center"/>
            </w:pPr>
            <w:r>
              <w:rPr>
                <w:rFonts w:ascii="Arial" w:cs="Arial" w:eastAsia="Arial" w:hAnsi="Arial"/>
                <w:color w:val="AABBCC"/>
                <w:sz w:val="17"/>
                <w:szCs w:val="17"/>
              </w:rPr>
              <w:t xml:space="preserve">Mathematics and English Language Arts Standards · United States</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Curriculum Alignment Document</w:t>
            </w:r>
          </w:p>
        </w:tc>
      </w:tr>
      <w:tr>
        <w:tc>
          <w:tcPr>
            <w:tcW w:type="dxa" w:w="10080"/>
            <w:tcBorders>
              <w:top w:val="none"/>
              <w:left w:val="none"/>
              <w:bottom w:val="none"/>
              <w:right w:val="none"/>
            </w:tcBorders>
            <w:shd w:fill="1F3864" w:val="clear"/>
            <w:tcMar>
              <w:top w:type="dxa" w:w="0"/>
              <w:left w:type="dxa" w:w="240"/>
              <w:bottom w:type="dxa" w:w="130"/>
              <w:right w:type="dxa" w:w="240"/>
            </w:tcMar>
          </w:tcPr>
          <w:p>
            <w:pPr>
              <w:jc w:val="center"/>
            </w:pPr>
            <w:r>
              <w:rPr>
                <w:rFonts w:ascii="Arial" w:cs="Arial" w:eastAsia="Arial" w:hAnsi="Arial"/>
                <w:color w:val="AABBCC"/>
                <w:sz w:val="17"/>
                <w:szCs w:val="17"/>
              </w:rPr>
              <w:t xml:space="preserve">Raising An Entrepreneur: SimpleJoy | SaralAnand — 52-Week Family Programme</w:t>
            </w:r>
          </w:p>
        </w:tc>
      </w:tr>
    </w:tbl>
    <w:p>
      <w:pPr>
        <w:spacing w:after="32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single" w:color="8B1A1A" w:sz="4"/>
              <w:left w:val="single" w:color="8B1A1A" w:sz="14"/>
              <w:bottom w:val="single" w:color="8B1A1A" w:sz="4"/>
              <w:right w:val="none"/>
            </w:tcBorders>
            <w:shd w:fill="FFF0F0" w:val="clear"/>
            <w:tcMar>
              <w:top w:type="dxa" w:w="120"/>
              <w:left w:type="dxa" w:w="200"/>
              <w:bottom w:type="dxa" w:w="120"/>
              <w:right w:type="dxa" w:w="180"/>
            </w:tcMar>
          </w:tcPr>
          <w:p>
            <w:pPr>
              <w:spacing w:after="65" w:before="0" w:line="265" w:lineRule="auto"/>
            </w:pPr>
            <w:r>
              <w:rPr>
                <w:rFonts w:ascii="Arial" w:cs="Arial" w:eastAsia="Arial" w:hAnsi="Arial"/>
                <w:color w:val="444444"/>
                <w:sz w:val="18"/>
                <w:szCs w:val="18"/>
              </w:rPr>
              <w:t xml:space="preserve">STANDARDS: Common Core State Standards (CCSS) — Mathematics and English Language Arts</w:t>
            </w:r>
          </w:p>
          <w:p>
            <w:pPr>
              <w:spacing w:after="65" w:before="0" w:line="265" w:lineRule="auto"/>
            </w:pPr>
            <w:r>
              <w:rPr>
                <w:rFonts w:ascii="Arial" w:cs="Arial" w:eastAsia="Arial" w:hAnsi="Arial"/>
                <w:color w:val="444444"/>
                <w:sz w:val="18"/>
                <w:szCs w:val="18"/>
              </w:rPr>
              <w:t xml:space="preserve">GRADE RANGE: Grades 3–8 (Ages 8–14) with extensions to Grades 9–12</w:t>
            </w:r>
          </w:p>
          <w:p>
            <w:pPr>
              <w:spacing w:after="65" w:before="0" w:line="265" w:lineRule="auto"/>
            </w:pPr>
            <w:r>
              <w:rPr>
                <w:rFonts w:ascii="Arial" w:cs="Arial" w:eastAsia="Arial" w:hAnsi="Arial"/>
                <w:color w:val="444444"/>
                <w:sz w:val="18"/>
                <w:szCs w:val="18"/>
              </w:rPr>
              <w:t xml:space="preserve">STATES: Adopted by 41 states, DC, and US territories</w:t>
            </w:r>
          </w:p>
          <w:p>
            <w:pPr>
              <w:spacing w:after="65" w:before="0" w:line="265" w:lineRule="auto"/>
            </w:pPr>
            <w:r>
              <w:rPr>
                <w:rFonts w:ascii="Arial" w:cs="Arial" w:eastAsia="Arial" w:hAnsi="Arial"/>
                <w:color w:val="444444"/>
                <w:sz w:val="18"/>
                <w:szCs w:val="18"/>
              </w:rPr>
              <w:t xml:space="preserve">DOCUMENT PURPOSE: Family engagement + school alignment for US-based IB, public, charter, and private schools</w:t>
            </w:r>
          </w:p>
          <w:p>
            <w:pPr>
              <w:spacing w:after="65" w:before="0" w:line="265" w:lineRule="auto"/>
            </w:pPr>
            <w:r>
              <w:rPr>
                <w:rFonts w:ascii="Arial" w:cs="Arial" w:eastAsia="Arial" w:hAnsi="Arial"/>
                <w:color w:val="444444"/>
                <w:sz w:val="18"/>
                <w:szCs w:val="18"/>
              </w:rPr>
              <w:t xml:space="preserve">VERSION: Aligned to CCSS as published by NGA/CCSSO, current edition</w:t>
            </w:r>
          </w:p>
        </w:tc>
      </w:tr>
    </w:tbl>
    <w:p>
      <w:pPr>
        <w:spacing w:after="320" w:before="0"/>
      </w:pPr>
    </w:p>
    <w:p>
      <w:pPr>
        <w:pBdr>
          <w:bottom w:val="single" w:color="8B1A1A" w:sz="3"/>
        </w:pBdr>
        <w:spacing w:after="120" w:before="120"/>
      </w:pPr>
    </w:p>
    <w:p>
      <w:pPr>
        <w:spacing w:after="240" w:before="0"/>
      </w:pPr>
    </w:p>
    <w:p>
      <w:pPr>
        <w:spacing w:after="60" w:before="0"/>
        <w:jc w:val="center"/>
      </w:pPr>
      <w:r>
        <w:rPr>
          <w:rFonts w:ascii="Arial" w:cs="Arial" w:eastAsia="Arial" w:hAnsi="Arial"/>
          <w:b/>
          <w:bCs/>
          <w:color w:val="1F3864"/>
          <w:sz w:val="20"/>
          <w:szCs w:val="20"/>
        </w:rPr>
        <w:t xml:space="preserve">Vishnu Shanker and Nivedita Shanker</w:t>
      </w:r>
    </w:p>
    <w:p>
      <w:pPr>
        <w:spacing w:after="0" w:before="0"/>
        <w:jc w:val="center"/>
      </w:pPr>
      <w:r>
        <w:rPr>
          <w:rFonts w:ascii="Arial" w:cs="Arial" w:eastAsia="Arial" w:hAnsi="Arial"/>
          <w:color w:val="888888"/>
          <w:sz w:val="17"/>
          <w:szCs w:val="17"/>
        </w:rPr>
        <w:t xml:space="preserve">SimpleJoy | SaralAnand Foundation  ·  simplejoyfamily.com</w:t>
      </w: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160"/>
              <w:right w:type="dxa" w:w="240"/>
            </w:tcMar>
          </w:tcPr>
          <w:p>
            <w:pPr>
              <w:jc w:val="center"/>
            </w:pPr>
            <w:r>
              <w:rPr>
                <w:rFonts w:ascii="Arial" w:cs="Arial" w:eastAsia="Arial" w:hAnsi="Arial"/>
                <w:b/>
                <w:bCs/>
                <w:color w:val="FFFFFF"/>
                <w:sz w:val="20"/>
                <w:szCs w:val="20"/>
              </w:rPr>
              <w:t xml:space="preserve">CCSS ALIGNMENT — OVERVIEW</w:t>
            </w:r>
          </w:p>
        </w:tc>
      </w:tr>
    </w:tbl>
    <w:p>
      <w:pPr>
        <w:spacing w:after="280" w:before="0"/>
      </w:pPr>
    </w:p>
    <w:p>
      <w:pPr>
        <w:spacing w:after="80" w:before="220"/>
      </w:pPr>
      <w:r>
        <w:rPr>
          <w:rFonts w:ascii="Arial" w:cs="Arial" w:eastAsia="Arial" w:hAnsi="Arial"/>
          <w:b/>
          <w:bCs/>
          <w:color w:val="1F3864"/>
          <w:sz w:val="21"/>
          <w:szCs w:val="21"/>
        </w:rPr>
        <w:t xml:space="preserve">About SimpleJoy | SaralAnand</w:t>
      </w:r>
    </w:p>
    <w:p>
      <w:pPr>
        <w:spacing w:after="150" w:before="0" w:line="280" w:lineRule="auto"/>
        <w:jc w:val="both"/>
      </w:pPr>
      <w:r>
        <w:rPr>
          <w:rFonts w:ascii="Arial" w:cs="Arial" w:eastAsia="Arial" w:hAnsi="Arial"/>
          <w:b w:val="false"/>
          <w:bCs w:val="false"/>
          <w:i w:val="false"/>
          <w:iCs w:val="false"/>
          <w:color w:val="444444"/>
          <w:sz w:val="19"/>
          <w:szCs w:val="19"/>
        </w:rPr>
        <w:t xml:space="preserve">SimpleJoy | SaralAnand is a free 52-week family entrepreneurship programme designed to develop entrepreneurial mindset, skills, and character in children aged 8–18. The programme delivers one 3-minute parent video (#UdyamMaa_EntrepreneurialParent) and one 60-second animated children's episode (#UdyamMe_EntrepreneurialChild) every week, with a structured home challenge. All content is free at simplejoyfamily.com and YouTube. Vishnu Shanker and Nivedita Shanker created this programme across thirty-eight years of building together — Nivedita held the financial, administrative, and family foundation throughout, and is the reason the work exists.</w:t>
      </w:r>
    </w:p>
    <w:p>
      <w:pPr>
        <w:spacing w:after="160" w:before="0"/>
      </w:pPr>
    </w:p>
    <w:p>
      <w:pPr>
        <w:spacing w:after="80" w:before="220"/>
      </w:pPr>
      <w:r>
        <w:rPr>
          <w:rFonts w:ascii="Arial" w:cs="Arial" w:eastAsia="Arial" w:hAnsi="Arial"/>
          <w:b/>
          <w:bCs/>
          <w:color w:val="1F3864"/>
          <w:sz w:val="21"/>
          <w:szCs w:val="21"/>
        </w:rPr>
        <w:t xml:space="preserve">About This CCSS Alignment Document</w:t>
      </w:r>
    </w:p>
    <w:p>
      <w:pPr>
        <w:spacing w:after="150" w:before="0" w:line="280" w:lineRule="auto"/>
        <w:jc w:val="both"/>
      </w:pPr>
      <w:r>
        <w:rPr>
          <w:rFonts w:ascii="Arial" w:cs="Arial" w:eastAsia="Arial" w:hAnsi="Arial"/>
          <w:b w:val="false"/>
          <w:bCs w:val="false"/>
          <w:i w:val="false"/>
          <w:iCs w:val="false"/>
          <w:color w:val="444444"/>
          <w:sz w:val="19"/>
          <w:szCs w:val="19"/>
        </w:rPr>
        <w:t xml:space="preserve">This document maps the SimpleJoy | SaralAnand 52-week programme to Common Core State Standards in Mathematics and English Language Arts. The programme reinforces CCSS standards through applied, real-world family practice — particularly in the domains of mathematical reasoning, financial literacy, argumentative writing, speaking and listening, and informational text comprehension. The alignment is strongest in Grades 3–8 and is particularly relevant for schools operating CCSS-aligned curricula alongside entrepreneurship, STEM, or social-emotional learning programmes.</w:t>
      </w:r>
    </w:p>
    <w:p>
      <w:pPr>
        <w:spacing w:after="16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single" w:color="8B1A1A" w:sz="4"/>
              <w:left w:val="single" w:color="8B1A1A" w:sz="14"/>
              <w:bottom w:val="single" w:color="8B1A1A" w:sz="4"/>
              <w:right w:val="none"/>
            </w:tcBorders>
            <w:shd w:fill="FFF0F0" w:val="clear"/>
            <w:tcMar>
              <w:top w:type="dxa" w:w="120"/>
              <w:left w:type="dxa" w:w="200"/>
              <w:bottom w:type="dxa" w:w="120"/>
              <w:right w:type="dxa" w:w="180"/>
            </w:tcMar>
          </w:tcPr>
          <w:p>
            <w:pPr>
              <w:spacing w:after="65" w:before="0" w:line="265" w:lineRule="auto"/>
            </w:pPr>
            <w:r>
              <w:rPr>
                <w:rFonts w:ascii="Arial" w:cs="Arial" w:eastAsia="Arial" w:hAnsi="Arial"/>
                <w:color w:val="444444"/>
                <w:sz w:val="18"/>
                <w:szCs w:val="18"/>
              </w:rPr>
              <w:t xml:space="preserve">KEY FINDING: All 10 programme pillars map to one or more CCSS standards or competencies.</w:t>
            </w:r>
          </w:p>
          <w:p>
            <w:pPr>
              <w:spacing w:after="65" w:before="0" w:line="265" w:lineRule="auto"/>
            </w:pPr>
            <w:r>
              <w:rPr>
                <w:rFonts w:ascii="Arial" w:cs="Arial" w:eastAsia="Arial" w:hAnsi="Arial"/>
                <w:color w:val="444444"/>
                <w:sz w:val="18"/>
                <w:szCs w:val="18"/>
              </w:rPr>
              <w:t xml:space="preserve">KEY FINDING: The programme operates as a family engagement layer — it reinforces, not replaces, CCSS curriculum.</w:t>
            </w:r>
          </w:p>
          <w:p>
            <w:pPr>
              <w:spacing w:after="65" w:before="0" w:line="265" w:lineRule="auto"/>
            </w:pPr>
            <w:r>
              <w:rPr>
                <w:rFonts w:ascii="Arial" w:cs="Arial" w:eastAsia="Arial" w:hAnsi="Arial"/>
                <w:color w:val="444444"/>
                <w:sz w:val="18"/>
                <w:szCs w:val="18"/>
              </w:rPr>
              <w:t xml:space="preserve">KEY FINDING: The Idea Notebook provides structured portfolio evidence aligned to this system's assessment criteria.</w:t>
            </w:r>
          </w:p>
          <w:p>
            <w:pPr>
              <w:spacing w:after="65" w:before="0" w:line="265" w:lineRule="auto"/>
            </w:pPr>
            <w:r>
              <w:rPr>
                <w:rFonts w:ascii="Arial" w:cs="Arial" w:eastAsia="Arial" w:hAnsi="Arial"/>
                <w:color w:val="444444"/>
                <w:sz w:val="18"/>
                <w:szCs w:val="18"/>
              </w:rPr>
              <w:t xml:space="preserve">KEY FINDING: All curriculum references in this document cite the current CCSS framework as of 2024–2025.</w:t>
            </w:r>
          </w:p>
        </w:tc>
      </w:tr>
    </w:tbl>
    <w:p>
      <w:pPr>
        <w:spacing w:after="280" w:before="0"/>
      </w:pPr>
    </w:p>
    <w:p>
      <w:pPr>
        <w:spacing w:after="80" w:before="220"/>
      </w:pPr>
      <w:r>
        <w:rPr>
          <w:rFonts w:ascii="Arial" w:cs="Arial" w:eastAsia="Arial" w:hAnsi="Arial"/>
          <w:b/>
          <w:bCs/>
          <w:color w:val="1F3864"/>
          <w:sz w:val="21"/>
          <w:szCs w:val="21"/>
        </w:rPr>
        <w:t xml:space="preserve">Programme Structure — Quick Reference</w:t>
      </w:r>
    </w:p>
    <w:p>
      <w:pPr>
        <w:spacing w:after="160" w:before="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
        <w:gridCol w:w="2600"/>
        <w:gridCol w:w="1400"/>
        <w:gridCol w:w="5300"/>
      </w:tblGrid>
      <w:tr>
        <w:tc>
          <w:tcPr>
            <w:tcW w:type="dxa" w:w="500"/>
            <w:tcBorders>
              <w:top w:val="single" w:color="CCCCCC" w:sz="2"/>
              <w:left w:val="single" w:color="CCCCCC" w:sz="2"/>
              <w:bottom w:val="single" w:color="CCCCCC" w:sz="2"/>
              <w:right w:val="single" w:color="CCCCCC" w:sz="2"/>
            </w:tcBorders>
            <w:shd w:fill="8B1A1A" w:val="clear"/>
            <w:tcMar>
              <w:top w:type="dxa" w:w="90"/>
              <w:left w:type="dxa" w:w="100"/>
              <w:bottom w:type="dxa" w:w="90"/>
              <w:right w:type="dxa" w:w="100"/>
            </w:tcMar>
          </w:tcPr>
          <w:p>
            <w:r>
              <w:rPr>
                <w:rFonts w:ascii="Arial" w:cs="Arial" w:eastAsia="Arial" w:hAnsi="Arial"/>
                <w:b/>
                <w:bCs/>
                <w:color w:val="FFFFFF"/>
                <w:sz w:val="16"/>
                <w:szCs w:val="16"/>
              </w:rPr>
              <w:t xml:space="preserve">No.</w:t>
            </w:r>
          </w:p>
        </w:tc>
        <w:tc>
          <w:tcPr>
            <w:tcW w:type="dxa" w:w="2600"/>
            <w:tcBorders>
              <w:top w:val="single" w:color="CCCCCC" w:sz="2"/>
              <w:left w:val="single" w:color="CCCCCC" w:sz="2"/>
              <w:bottom w:val="single" w:color="CCCCCC" w:sz="2"/>
              <w:right w:val="single" w:color="CCCCCC" w:sz="2"/>
            </w:tcBorders>
            <w:shd w:fill="8B1A1A" w:val="clear"/>
            <w:tcMar>
              <w:top w:type="dxa" w:w="90"/>
              <w:left w:type="dxa" w:w="100"/>
              <w:bottom w:type="dxa" w:w="90"/>
              <w:right w:type="dxa" w:w="100"/>
            </w:tcMar>
          </w:tcPr>
          <w:p>
            <w:r>
              <w:rPr>
                <w:rFonts w:ascii="Arial" w:cs="Arial" w:eastAsia="Arial" w:hAnsi="Arial"/>
                <w:b/>
                <w:bCs/>
                <w:color w:val="FFFFFF"/>
                <w:sz w:val="16"/>
                <w:szCs w:val="16"/>
              </w:rPr>
              <w:t xml:space="preserve">Pillar</w:t>
            </w:r>
          </w:p>
        </w:tc>
        <w:tc>
          <w:tcPr>
            <w:tcW w:type="dxa" w:w="1400"/>
            <w:tcBorders>
              <w:top w:val="single" w:color="CCCCCC" w:sz="2"/>
              <w:left w:val="single" w:color="CCCCCC" w:sz="2"/>
              <w:bottom w:val="single" w:color="CCCCCC" w:sz="2"/>
              <w:right w:val="single" w:color="CCCCCC" w:sz="2"/>
            </w:tcBorders>
            <w:shd w:fill="8B1A1A" w:val="clear"/>
            <w:tcMar>
              <w:top w:type="dxa" w:w="90"/>
              <w:left w:type="dxa" w:w="100"/>
              <w:bottom w:type="dxa" w:w="90"/>
              <w:right w:type="dxa" w:w="100"/>
            </w:tcMar>
          </w:tcPr>
          <w:p>
            <w:r>
              <w:rPr>
                <w:rFonts w:ascii="Arial" w:cs="Arial" w:eastAsia="Arial" w:hAnsi="Arial"/>
                <w:b/>
                <w:bCs/>
                <w:color w:val="FFFFFF"/>
                <w:sz w:val="16"/>
                <w:szCs w:val="16"/>
              </w:rPr>
              <w:t xml:space="preserve">Weeks</w:t>
            </w:r>
          </w:p>
        </w:tc>
        <w:tc>
          <w:tcPr>
            <w:tcW w:type="dxa" w:w="5300"/>
            <w:tcBorders>
              <w:top w:val="single" w:color="CCCCCC" w:sz="2"/>
              <w:left w:val="single" w:color="CCCCCC" w:sz="2"/>
              <w:bottom w:val="single" w:color="CCCCCC" w:sz="2"/>
              <w:right w:val="single" w:color="CCCCCC" w:sz="2"/>
            </w:tcBorders>
            <w:shd w:fill="8B1A1A" w:val="clear"/>
            <w:tcMar>
              <w:top w:type="dxa" w:w="90"/>
              <w:left w:type="dxa" w:w="100"/>
              <w:bottom w:type="dxa" w:w="90"/>
              <w:right w:type="dxa" w:w="100"/>
            </w:tcMar>
          </w:tcPr>
          <w:p>
            <w:r>
              <w:rPr>
                <w:rFonts w:ascii="Arial" w:cs="Arial" w:eastAsia="Arial" w:hAnsi="Arial"/>
                <w:b/>
                <w:bCs/>
                <w:color w:val="FFFFFF"/>
                <w:sz w:val="16"/>
                <w:szCs w:val="16"/>
              </w:rPr>
              <w:t xml:space="preserve">Theme / Focus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6"/>
                <w:szCs w:val="16"/>
              </w:rPr>
              <w:t xml:space="preserve">0</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Box Breathing</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All 52</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Emotional regulation</w:t>
            </w:r>
          </w:p>
        </w:tc>
      </w:tr>
      <w:tr>
        <w:tc>
          <w:tcPr>
            <w:tcW w:type="dxa" w:w="5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6"/>
                <w:szCs w:val="16"/>
              </w:rPr>
              <w:t xml:space="preserve">1</w:t>
            </w:r>
          </w:p>
        </w:tc>
        <w:tc>
          <w:tcPr>
            <w:tcW w:type="dxa" w:w="26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Start at Home — The Coaching Switch</w:t>
            </w:r>
          </w:p>
        </w:tc>
        <w:tc>
          <w:tcPr>
            <w:tcW w:type="dxa" w:w="14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1–6</w:t>
            </w:r>
          </w:p>
        </w:tc>
        <w:tc>
          <w:tcPr>
            <w:tcW w:type="dxa" w:w="53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Self-directed learning</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6"/>
                <w:szCs w:val="16"/>
              </w:rPr>
              <w:t xml:space="preserve">2</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Start Early, But Naturally</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4–6</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Developmental awareness</w:t>
            </w:r>
          </w:p>
        </w:tc>
      </w:tr>
      <w:tr>
        <w:tc>
          <w:tcPr>
            <w:tcW w:type="dxa" w:w="5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6"/>
                <w:szCs w:val="16"/>
              </w:rPr>
              <w:t xml:space="preserve">3</w:t>
            </w:r>
          </w:p>
        </w:tc>
        <w:tc>
          <w:tcPr>
            <w:tcW w:type="dxa" w:w="26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Build the Right Mindset First</w:t>
            </w:r>
          </w:p>
        </w:tc>
        <w:tc>
          <w:tcPr>
            <w:tcW w:type="dxa" w:w="14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7–10</w:t>
            </w:r>
          </w:p>
        </w:tc>
        <w:tc>
          <w:tcPr>
            <w:tcW w:type="dxa" w:w="53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Curiosity · Resilience · Calm</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6"/>
                <w:szCs w:val="16"/>
              </w:rPr>
              <w:t xml:space="preserve">4</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Action Over Theory</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11–13</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Experiment mindset</w:t>
            </w:r>
          </w:p>
        </w:tc>
      </w:tr>
      <w:tr>
        <w:tc>
          <w:tcPr>
            <w:tcW w:type="dxa" w:w="5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6"/>
                <w:szCs w:val="16"/>
              </w:rPr>
              <w:t xml:space="preserve">5</w:t>
            </w:r>
          </w:p>
        </w:tc>
        <w:tc>
          <w:tcPr>
            <w:tcW w:type="dxa" w:w="26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Financial Literacy — The Four Jars</w:t>
            </w:r>
          </w:p>
        </w:tc>
        <w:tc>
          <w:tcPr>
            <w:tcW w:type="dxa" w:w="14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14–17</w:t>
            </w:r>
          </w:p>
        </w:tc>
        <w:tc>
          <w:tcPr>
            <w:tcW w:type="dxa" w:w="53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Economics · Value · Giving</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6"/>
                <w:szCs w:val="16"/>
              </w:rPr>
              <w:t xml:space="preserve">6</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Analytical Thinking — Three Questions</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18–22</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Critical · Creative thinking</w:t>
            </w:r>
          </w:p>
        </w:tc>
      </w:tr>
      <w:tr>
        <w:tc>
          <w:tcPr>
            <w:tcW w:type="dxa" w:w="5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6"/>
                <w:szCs w:val="16"/>
              </w:rPr>
              <w:t xml:space="preserve">7</w:t>
            </w:r>
          </w:p>
        </w:tc>
        <w:tc>
          <w:tcPr>
            <w:tcW w:type="dxa" w:w="26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Organisational Skills</w:t>
            </w:r>
          </w:p>
        </w:tc>
        <w:tc>
          <w:tcPr>
            <w:tcW w:type="dxa" w:w="14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23–25</w:t>
            </w:r>
          </w:p>
        </w:tc>
        <w:tc>
          <w:tcPr>
            <w:tcW w:type="dxa" w:w="53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Time · Priorities · Deadlines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6"/>
                <w:szCs w:val="16"/>
              </w:rPr>
              <w:t xml:space="preserve">8</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Communication, Selling and Execution</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27–34</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Pitch · Listen · Story · Follow-through</w:t>
            </w:r>
          </w:p>
        </w:tc>
      </w:tr>
      <w:tr>
        <w:tc>
          <w:tcPr>
            <w:tcW w:type="dxa" w:w="5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6"/>
                <w:szCs w:val="16"/>
              </w:rPr>
              <w:t xml:space="preserve">9</w:t>
            </w:r>
          </w:p>
        </w:tc>
        <w:tc>
          <w:tcPr>
            <w:tcW w:type="dxa" w:w="26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Creativity, Innovation and Networks</w:t>
            </w:r>
          </w:p>
        </w:tc>
        <w:tc>
          <w:tcPr>
            <w:tcW w:type="dxa" w:w="14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35–38</w:t>
            </w:r>
          </w:p>
        </w:tc>
        <w:tc>
          <w:tcPr>
            <w:tcW w:type="dxa" w:w="53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Ideas · Collaboration · Networks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6"/>
                <w:szCs w:val="16"/>
              </w:rPr>
              <w:t xml:space="preserve">10</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Leadership Through Collaboration</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40–52</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Mentor · Delegate · Integrity</w:t>
            </w:r>
          </w:p>
        </w:tc>
      </w:tr>
    </w:tbl>
    <w:p>
      <w:pPr>
        <w:spacing w:after="36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8B1A1A"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1: PILLAR-BY-PILLAR CCSS ALIGNMENT</w:t>
            </w:r>
          </w:p>
        </w:tc>
      </w:tr>
      <w:tr>
        <w:tc>
          <w:tcPr>
            <w:tcW w:type="dxa" w:w="10080"/>
            <w:tcBorders>
              <w:top w:val="none"/>
              <w:left w:val="none"/>
              <w:bottom w:val="none"/>
              <w:right w:val="none"/>
            </w:tcBorders>
            <w:shd w:fill="8B1A1A" w:val="clear"/>
            <w:tcMar>
              <w:top w:type="dxa" w:w="0"/>
              <w:left w:type="dxa" w:w="240"/>
              <w:bottom w:type="dxa" w:w="130"/>
              <w:right w:type="dxa" w:w="240"/>
            </w:tcMar>
          </w:tcPr>
          <w:p>
            <w:pPr>
              <w:jc w:val="center"/>
            </w:pPr>
            <w:r>
              <w:rPr>
                <w:rFonts w:ascii="Arial" w:cs="Arial" w:eastAsia="Arial" w:hAnsi="Arial"/>
                <w:color w:val="AABBCC"/>
                <w:sz w:val="17"/>
                <w:szCs w:val="17"/>
              </w:rPr>
              <w:t xml:space="preserve">How each of the 10 pillars maps to Common Core State Standards standards</w:t>
            </w:r>
          </w:p>
        </w:tc>
      </w:tr>
    </w:tbl>
    <w:p>
      <w:pPr>
        <w:spacing w:after="280" w:before="0"/>
      </w:pPr>
    </w:p>
    <w:p>
      <w:pPr>
        <w:spacing w:after="150" w:before="0" w:line="280" w:lineRule="auto"/>
        <w:jc w:val="both"/>
      </w:pPr>
      <w:r>
        <w:rPr>
          <w:rFonts w:ascii="Arial" w:cs="Arial" w:eastAsia="Arial" w:hAnsi="Arial"/>
          <w:b w:val="false"/>
          <w:bCs w:val="false"/>
          <w:i w:val="false"/>
          <w:iCs w:val="false"/>
          <w:color w:val="444444"/>
          <w:sz w:val="19"/>
          <w:szCs w:val="19"/>
        </w:rPr>
        <w:t xml:space="preserve">The table below shows the specific CCSS standards, strands, or competencies addressed by each programme pillar. Where applicable, grade band descriptors are noted for the primary target age range (8–12 years).</w:t>
      </w:r>
    </w:p>
    <w:p>
      <w:pPr>
        <w:spacing w:after="200" w:before="0"/>
      </w:pP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00"/>
        <w:gridCol w:w="2200"/>
        <w:gridCol w:w="2000"/>
        <w:gridCol w:w="2000"/>
        <w:gridCol w:w="3600"/>
      </w:tblGrid>
      <w:tr>
        <w:tc>
          <w:tcPr>
            <w:tcW w:type="dxa" w:w="500"/>
            <w:tcBorders>
              <w:top w:val="single" w:color="CCCCCC" w:sz="2"/>
              <w:left w:val="single" w:color="CCCCCC" w:sz="2"/>
              <w:bottom w:val="single" w:color="CCCCCC" w:sz="2"/>
              <w:right w:val="single" w:color="CCCCCC" w:sz="2"/>
            </w:tcBorders>
            <w:shd w:fill="8B1A1A" w:val="clear"/>
            <w:tcMar>
              <w:top w:type="dxa" w:w="90"/>
              <w:left w:type="dxa" w:w="100"/>
              <w:bottom w:type="dxa" w:w="90"/>
              <w:right w:type="dxa" w:w="100"/>
            </w:tcMar>
          </w:tcPr>
          <w:p>
            <w:r>
              <w:rPr>
                <w:rFonts w:ascii="Arial" w:cs="Arial" w:eastAsia="Arial" w:hAnsi="Arial"/>
                <w:b/>
                <w:bCs/>
                <w:color w:val="FFFFFF"/>
                <w:sz w:val="16"/>
                <w:szCs w:val="16"/>
              </w:rPr>
              <w:t xml:space="preserve">Pillar</w:t>
            </w:r>
          </w:p>
        </w:tc>
        <w:tc>
          <w:tcPr>
            <w:tcW w:type="dxa" w:w="2200"/>
            <w:tcBorders>
              <w:top w:val="single" w:color="CCCCCC" w:sz="2"/>
              <w:left w:val="single" w:color="CCCCCC" w:sz="2"/>
              <w:bottom w:val="single" w:color="CCCCCC" w:sz="2"/>
              <w:right w:val="single" w:color="CCCCCC" w:sz="2"/>
            </w:tcBorders>
            <w:shd w:fill="8B1A1A" w:val="clear"/>
            <w:tcMar>
              <w:top w:type="dxa" w:w="90"/>
              <w:left w:type="dxa" w:w="100"/>
              <w:bottom w:type="dxa" w:w="90"/>
              <w:right w:type="dxa" w:w="100"/>
            </w:tcMar>
          </w:tcPr>
          <w:p>
            <w:r>
              <w:rPr>
                <w:rFonts w:ascii="Arial" w:cs="Arial" w:eastAsia="Arial" w:hAnsi="Arial"/>
                <w:b/>
                <w:bCs/>
                <w:color w:val="FFFFFF"/>
                <w:sz w:val="16"/>
                <w:szCs w:val="16"/>
              </w:rPr>
              <w:t xml:space="preserve">Programme Focus</w:t>
            </w:r>
          </w:p>
        </w:tc>
        <w:tc>
          <w:tcPr>
            <w:tcW w:type="dxa" w:w="2000"/>
            <w:tcBorders>
              <w:top w:val="single" w:color="CCCCCC" w:sz="2"/>
              <w:left w:val="single" w:color="CCCCCC" w:sz="2"/>
              <w:bottom w:val="single" w:color="CCCCCC" w:sz="2"/>
              <w:right w:val="single" w:color="CCCCCC" w:sz="2"/>
            </w:tcBorders>
            <w:shd w:fill="8B1A1A" w:val="clear"/>
            <w:tcMar>
              <w:top w:type="dxa" w:w="90"/>
              <w:left w:type="dxa" w:w="100"/>
              <w:bottom w:type="dxa" w:w="90"/>
              <w:right w:type="dxa" w:w="100"/>
            </w:tcMar>
          </w:tcPr>
          <w:p>
            <w:r>
              <w:rPr>
                <w:rFonts w:ascii="Arial" w:cs="Arial" w:eastAsia="Arial" w:hAnsi="Arial"/>
                <w:b/>
                <w:bCs/>
                <w:color w:val="FFFFFF"/>
                <w:sz w:val="16"/>
                <w:szCs w:val="16"/>
              </w:rPr>
              <w:t xml:space="preserve">CCSS Math Standard</w:t>
            </w:r>
          </w:p>
        </w:tc>
        <w:tc>
          <w:tcPr>
            <w:tcW w:type="dxa" w:w="2000"/>
            <w:tcBorders>
              <w:top w:val="single" w:color="CCCCCC" w:sz="2"/>
              <w:left w:val="single" w:color="CCCCCC" w:sz="2"/>
              <w:bottom w:val="single" w:color="CCCCCC" w:sz="2"/>
              <w:right w:val="single" w:color="CCCCCC" w:sz="2"/>
            </w:tcBorders>
            <w:shd w:fill="8B1A1A" w:val="clear"/>
            <w:tcMar>
              <w:top w:type="dxa" w:w="90"/>
              <w:left w:type="dxa" w:w="100"/>
              <w:bottom w:type="dxa" w:w="90"/>
              <w:right w:type="dxa" w:w="100"/>
            </w:tcMar>
          </w:tcPr>
          <w:p>
            <w:r>
              <w:rPr>
                <w:rFonts w:ascii="Arial" w:cs="Arial" w:eastAsia="Arial" w:hAnsi="Arial"/>
                <w:b/>
                <w:bCs/>
                <w:color w:val="FFFFFF"/>
                <w:sz w:val="16"/>
                <w:szCs w:val="16"/>
              </w:rPr>
              <w:t xml:space="preserve">CCSS ELA Standard</w:t>
            </w:r>
          </w:p>
        </w:tc>
        <w:tc>
          <w:tcPr>
            <w:tcW w:type="dxa" w:w="3600"/>
            <w:tcBorders>
              <w:top w:val="single" w:color="CCCCCC" w:sz="2"/>
              <w:left w:val="single" w:color="CCCCCC" w:sz="2"/>
              <w:bottom w:val="single" w:color="CCCCCC" w:sz="2"/>
              <w:right w:val="single" w:color="CCCCCC" w:sz="2"/>
            </w:tcBorders>
            <w:shd w:fill="8B1A1A" w:val="clear"/>
            <w:tcMar>
              <w:top w:type="dxa" w:w="90"/>
              <w:left w:type="dxa" w:w="100"/>
              <w:bottom w:type="dxa" w:w="90"/>
              <w:right w:type="dxa" w:w="100"/>
            </w:tcMar>
          </w:tcPr>
          <w:p>
            <w:r>
              <w:rPr>
                <w:rFonts w:ascii="Arial" w:cs="Arial" w:eastAsia="Arial" w:hAnsi="Arial"/>
                <w:b/>
                <w:bCs/>
                <w:color w:val="FFFFFF"/>
                <w:sz w:val="16"/>
                <w:szCs w:val="16"/>
              </w:rPr>
              <w:t xml:space="preserve">How It Connects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5"/>
                <w:szCs w:val="15"/>
              </w:rPr>
              <w:t xml:space="preserve">0</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Box Breathing</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CCSS.ELA-LITERACY.SL.K-12.1 (Collaborative Discussion)</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Calm, focused attention is prerequisite to both mathematical reasoning and collaborative literacy tasks.</w:t>
            </w:r>
          </w:p>
        </w:tc>
      </w:tr>
      <w:tr>
        <w:tc>
          <w:tcPr>
            <w:tcW w:type="dxa" w:w="5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5"/>
                <w:szCs w:val="15"/>
              </w:rPr>
              <w:t xml:space="preserve">1</w:t>
            </w:r>
          </w:p>
        </w:tc>
        <w:tc>
          <w:tcPr>
            <w:tcW w:type="dxa" w:w="22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The Coaching Switch</w:t>
            </w:r>
          </w:p>
        </w:tc>
        <w:tc>
          <w:tcPr>
            <w:tcW w:type="dxa" w:w="20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MP.1 (Make sense of problems) · MP.3 (Construct arguments)</w:t>
            </w:r>
          </w:p>
        </w:tc>
        <w:tc>
          <w:tcPr>
            <w:tcW w:type="dxa" w:w="20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CCSS.ELA-LITERACY.SL.5.1 (Collaborative discussion) · SL.5.4 (Report on a topic)</w:t>
            </w:r>
          </w:p>
        </w:tc>
        <w:tc>
          <w:tcPr>
            <w:tcW w:type="dxa" w:w="36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Coaching questions build the Mathematical Practice of constructing viable arguments. Oral discussion supports SL standards across grade bands.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5"/>
                <w:szCs w:val="15"/>
              </w:rPr>
              <w:t xml:space="preserve">2</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Start Early, Naturally</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MP.6 (Attend to precision)</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CCSS.ELA-LITERACY.RI.4.1 (Key details) · RI.4.3 (Connections)</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The developmental window aligns to Grade 3–5 transition where CCSS shifts from learning to read to reading to learn. Early attention to precision and detail reinforces both domains.</w:t>
            </w:r>
          </w:p>
        </w:tc>
      </w:tr>
      <w:tr>
        <w:tc>
          <w:tcPr>
            <w:tcW w:type="dxa" w:w="5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5"/>
                <w:szCs w:val="15"/>
              </w:rPr>
              <w:t xml:space="preserve">3</w:t>
            </w:r>
          </w:p>
        </w:tc>
        <w:tc>
          <w:tcPr>
            <w:tcW w:type="dxa" w:w="22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Build Mindset First</w:t>
            </w:r>
          </w:p>
        </w:tc>
        <w:tc>
          <w:tcPr>
            <w:tcW w:type="dxa" w:w="20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MP.1 · MP.6 · MP.8 (Repeated reasoning)</w:t>
            </w:r>
          </w:p>
        </w:tc>
        <w:tc>
          <w:tcPr>
            <w:tcW w:type="dxa" w:w="20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CCSS.ELA-LITERACY.RI.5.3 · W.5.7 (Research) · L.5.4 (Vocabulary)</w:t>
            </w:r>
          </w:p>
        </w:tc>
        <w:tc>
          <w:tcPr>
            <w:tcW w:type="dxa" w:w="36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Curiosity and sustained inquiry directly reinforce the CCSS emphasis on evidence-based reading and research writing across Grades 3–8.</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5"/>
                <w:szCs w:val="15"/>
              </w:rPr>
              <w:t xml:space="preserve">4</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Action Over Theory</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MP.4 (Model with mathematics) · MP.5 (Use tools strategically)</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CCSS.ELA-LITERACY.W.5.7 (Short research) · W.7.7 (Extended research)</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The Experiment Log mirrors the CCSS research writing process: question, gather evidence, draw conclusions. MP.4 and MP.5 apply to the experiment design.</w:t>
            </w:r>
          </w:p>
        </w:tc>
      </w:tr>
      <w:tr>
        <w:tc>
          <w:tcPr>
            <w:tcW w:type="dxa" w:w="5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5"/>
                <w:szCs w:val="15"/>
              </w:rPr>
              <w:t xml:space="preserve">5</w:t>
            </w:r>
          </w:p>
        </w:tc>
        <w:tc>
          <w:tcPr>
            <w:tcW w:type="dxa" w:w="22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Financial Literacy — Four Jars</w:t>
            </w:r>
          </w:p>
        </w:tc>
        <w:tc>
          <w:tcPr>
            <w:tcW w:type="dxa" w:w="20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CCSS.MATH.CONTENT.4.MD.A.2 (Money problems) · 6.RP.A.3 (Ratios) · 7.RP.A.3 (Percent)</w:t>
            </w:r>
          </w:p>
        </w:tc>
        <w:tc>
          <w:tcPr>
            <w:tcW w:type="dxa" w:w="20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CCSS.ELA-LITERACY.RI.6.7 (Integrate information)</w:t>
            </w:r>
          </w:p>
        </w:tc>
        <w:tc>
          <w:tcPr>
            <w:tcW w:type="dxa" w:w="36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The Four Jars (60/20/10/10 split) directly applies Grade 6–7 ratio and percentage standards. Money word problems align to Grade 4 MD standards. Financial decision-making reinforces informational text comprehension.</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5"/>
                <w:szCs w:val="15"/>
              </w:rPr>
              <w:t xml:space="preserve">6</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Three Questions — Analytical Thinking</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MP.3 (Construct and critique arguments) · MP.6</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CCSS.ELA-LITERACY.W.6.1 (Arguments) · W.8.1 · RI.6.8 (Evaluate arguments)</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The Three Questions framework is a direct application of CCSS argumentative writing structure: claim (What works?), evidence (What doesn't?), and revision (What could be better?).</w:t>
            </w:r>
          </w:p>
        </w:tc>
      </w:tr>
      <w:tr>
        <w:tc>
          <w:tcPr>
            <w:tcW w:type="dxa" w:w="5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5"/>
                <w:szCs w:val="15"/>
              </w:rPr>
              <w:t xml:space="preserve">7</w:t>
            </w:r>
          </w:p>
        </w:tc>
        <w:tc>
          <w:tcPr>
            <w:tcW w:type="dxa" w:w="22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Organisational Skills</w:t>
            </w:r>
          </w:p>
        </w:tc>
        <w:tc>
          <w:tcPr>
            <w:tcW w:type="dxa" w:w="20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MP.1 (Persevere) · MP.6 (Precision)</w:t>
            </w:r>
          </w:p>
        </w:tc>
        <w:tc>
          <w:tcPr>
            <w:tcW w:type="dxa" w:w="20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CCSS.ELA-LITERACY.W.5.4 (Clear writing) · L.5.3 (Language conventions)</w:t>
            </w:r>
          </w:p>
        </w:tc>
        <w:tc>
          <w:tcPr>
            <w:tcW w:type="dxa" w:w="36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Time Audit and Priority Matrix reinforce mathematical precision and organised, structured written communication — both CCSS cross-grade emphases.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5"/>
                <w:szCs w:val="15"/>
              </w:rPr>
              <w:t xml:space="preserve">8</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Communication — The Pitch</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CCSS.ELA-LITERACY.SL.5.4 · SL.6.4 · SL.7.4 (Present claims) · SL.8.4</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The Five-Part Pitch directly maps to the CCSS Speaking and Listening progression across Grades 5–8: presenting claims, using appropriate evidence, adapting speech to audience and purpose.</w:t>
            </w:r>
          </w:p>
        </w:tc>
      </w:tr>
      <w:tr>
        <w:tc>
          <w:tcPr>
            <w:tcW w:type="dxa" w:w="5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5"/>
                <w:szCs w:val="15"/>
              </w:rPr>
              <w:t xml:space="preserve">9</w:t>
            </w:r>
          </w:p>
        </w:tc>
        <w:tc>
          <w:tcPr>
            <w:tcW w:type="dxa" w:w="22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Creativity and Networks</w:t>
            </w:r>
          </w:p>
        </w:tc>
        <w:tc>
          <w:tcPr>
            <w:tcW w:type="dxa" w:w="20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MP.2 (Reason abstractly) · MP.7 (Structure)</w:t>
            </w:r>
          </w:p>
        </w:tc>
        <w:tc>
          <w:tcPr>
            <w:tcW w:type="dxa" w:w="20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CCSS.ELA-LITERACY.W.7.3 (Narrative) · W.8.3 · RI.8.7 (Evaluate sources)</w:t>
            </w:r>
          </w:p>
        </w:tc>
        <w:tc>
          <w:tcPr>
            <w:tcW w:type="dxa" w:w="36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The Idea Collision Method and Business Story reinforce narrative writing standards. Network Map analysis applies abstract reasoning. Source evaluation mirrors RI informational text standards.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5"/>
                <w:szCs w:val="15"/>
              </w:rPr>
              <w:t xml:space="preserve">10</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Leadership Through Collaboration</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MP.3 (Construct/critique) · MP.6</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CCSS.ELA-LITERACY.SL.8.1 (Collaborative discussion) · W.8.1 (Argument)</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Leadership tools — Delegation Charter, Feedback Frame, Team Agreement — directly reinforce Grade 8 collaborative discussion and argumentative writing standards.</w:t>
            </w:r>
          </w:p>
        </w:tc>
      </w:tr>
    </w:tbl>
    <w:p>
      <w:pPr>
        <w:spacing w:after="36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8B1A1A"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2: WEEK-BY-WEEK CCSS REFERENCES</w:t>
            </w:r>
          </w:p>
        </w:tc>
      </w:tr>
      <w:tr>
        <w:tc>
          <w:tcPr>
            <w:tcW w:type="dxa" w:w="10080"/>
            <w:tcBorders>
              <w:top w:val="none"/>
              <w:left w:val="none"/>
              <w:bottom w:val="none"/>
              <w:right w:val="none"/>
            </w:tcBorders>
            <w:shd w:fill="8B1A1A" w:val="clear"/>
            <w:tcMar>
              <w:top w:type="dxa" w:w="0"/>
              <w:left w:type="dxa" w:w="240"/>
              <w:bottom w:type="dxa" w:w="130"/>
              <w:right w:type="dxa" w:w="240"/>
            </w:tcMar>
          </w:tcPr>
          <w:p>
            <w:pPr>
              <w:jc w:val="center"/>
            </w:pPr>
            <w:r>
              <w:rPr>
                <w:rFonts w:ascii="Arial" w:cs="Arial" w:eastAsia="Arial" w:hAnsi="Arial"/>
                <w:color w:val="AABBCC"/>
                <w:sz w:val="17"/>
                <w:szCs w:val="17"/>
              </w:rPr>
              <w:t xml:space="preserve">Representative episodes with specific curriculum references</w:t>
            </w:r>
          </w:p>
        </w:tc>
      </w:tr>
    </w:tbl>
    <w:p>
      <w:pPr>
        <w:spacing w:after="280" w:before="0"/>
      </w:pPr>
    </w:p>
    <w:p>
      <w:pPr>
        <w:spacing w:after="150" w:before="0" w:line="280" w:lineRule="auto"/>
        <w:jc w:val="both"/>
      </w:pPr>
      <w:r>
        <w:rPr>
          <w:rFonts w:ascii="Arial" w:cs="Arial" w:eastAsia="Arial" w:hAnsi="Arial"/>
          <w:b w:val="false"/>
          <w:bCs w:val="false"/>
          <w:i w:val="false"/>
          <w:iCs w:val="false"/>
          <w:color w:val="444444"/>
          <w:sz w:val="19"/>
          <w:szCs w:val="19"/>
        </w:rPr>
        <w:t xml:space="preserve">The following table provides specific CCSS curriculum references for 16 representative episodes across all four phases of the programme. These are selected to illustrate the range of alignment — the full 52-week reference table is available at simplejoyfamily.com/schools.</w:t>
      </w:r>
    </w:p>
    <w:p>
      <w:pPr>
        <w:spacing w:after="200" w:before="0"/>
      </w:pPr>
    </w:p>
    <w:tbl>
      <w:tblPr>
        <w:tblW w:type="dxa" w:w="10400"/>
        <w:tblBorders>
          <w:top w:val="single" w:color="auto" w:sz="4"/>
          <w:left w:val="single" w:color="auto" w:sz="4"/>
          <w:bottom w:val="single" w:color="auto" w:sz="4"/>
          <w:right w:val="single" w:color="auto" w:sz="4"/>
          <w:insideH w:val="single" w:color="auto" w:sz="4"/>
          <w:insideV w:val="single" w:color="auto" w:sz="4"/>
        </w:tblBorders>
      </w:tblPr>
      <w:tblGrid>
        <w:gridCol w:w="600"/>
        <w:gridCol w:w="2800"/>
        <w:gridCol w:w="1800"/>
        <w:gridCol w:w="1800"/>
        <w:gridCol w:w="3400"/>
      </w:tblGrid>
      <w:tr>
        <w:tc>
          <w:tcPr>
            <w:tcW w:type="dxa" w:w="600"/>
            <w:tcBorders>
              <w:top w:val="single" w:color="CCCCCC" w:sz="2"/>
              <w:left w:val="single" w:color="CCCCCC" w:sz="2"/>
              <w:bottom w:val="single" w:color="CCCCCC" w:sz="2"/>
              <w:right w:val="single" w:color="CCCCCC" w:sz="2"/>
            </w:tcBorders>
            <w:shd w:fill="8B1A1A" w:val="clear"/>
            <w:tcMar>
              <w:top w:type="dxa" w:w="90"/>
              <w:left w:type="dxa" w:w="100"/>
              <w:bottom w:type="dxa" w:w="90"/>
              <w:right w:type="dxa" w:w="100"/>
            </w:tcMar>
          </w:tcPr>
          <w:p>
            <w:r>
              <w:rPr>
                <w:rFonts w:ascii="Arial" w:cs="Arial" w:eastAsia="Arial" w:hAnsi="Arial"/>
                <w:b/>
                <w:bCs/>
                <w:color w:val="FFFFFF"/>
                <w:sz w:val="16"/>
                <w:szCs w:val="16"/>
              </w:rPr>
              <w:t xml:space="preserve">Wk</w:t>
            </w:r>
          </w:p>
        </w:tc>
        <w:tc>
          <w:tcPr>
            <w:tcW w:type="dxa" w:w="2800"/>
            <w:tcBorders>
              <w:top w:val="single" w:color="CCCCCC" w:sz="2"/>
              <w:left w:val="single" w:color="CCCCCC" w:sz="2"/>
              <w:bottom w:val="single" w:color="CCCCCC" w:sz="2"/>
              <w:right w:val="single" w:color="CCCCCC" w:sz="2"/>
            </w:tcBorders>
            <w:shd w:fill="8B1A1A" w:val="clear"/>
            <w:tcMar>
              <w:top w:type="dxa" w:w="90"/>
              <w:left w:type="dxa" w:w="100"/>
              <w:bottom w:type="dxa" w:w="90"/>
              <w:right w:type="dxa" w:w="100"/>
            </w:tcMar>
          </w:tcPr>
          <w:p>
            <w:r>
              <w:rPr>
                <w:rFonts w:ascii="Arial" w:cs="Arial" w:eastAsia="Arial" w:hAnsi="Arial"/>
                <w:b/>
                <w:bCs/>
                <w:color w:val="FFFFFF"/>
                <w:sz w:val="16"/>
                <w:szCs w:val="16"/>
              </w:rPr>
              <w:t xml:space="preserve">Episode Title</w:t>
            </w:r>
          </w:p>
        </w:tc>
        <w:tc>
          <w:tcPr>
            <w:tcW w:type="dxa" w:w="1800"/>
            <w:tcBorders>
              <w:top w:val="single" w:color="CCCCCC" w:sz="2"/>
              <w:left w:val="single" w:color="CCCCCC" w:sz="2"/>
              <w:bottom w:val="single" w:color="CCCCCC" w:sz="2"/>
              <w:right w:val="single" w:color="CCCCCC" w:sz="2"/>
            </w:tcBorders>
            <w:shd w:fill="8B1A1A" w:val="clear"/>
            <w:tcMar>
              <w:top w:type="dxa" w:w="90"/>
              <w:left w:type="dxa" w:w="100"/>
              <w:bottom w:type="dxa" w:w="90"/>
              <w:right w:type="dxa" w:w="100"/>
            </w:tcMar>
          </w:tcPr>
          <w:p>
            <w:r>
              <w:rPr>
                <w:rFonts w:ascii="Arial" w:cs="Arial" w:eastAsia="Arial" w:hAnsi="Arial"/>
                <w:b/>
                <w:bCs/>
                <w:color w:val="FFFFFF"/>
                <w:sz w:val="16"/>
                <w:szCs w:val="16"/>
              </w:rPr>
              <w:t xml:space="preserve">CCSS Math</w:t>
            </w:r>
          </w:p>
        </w:tc>
        <w:tc>
          <w:tcPr>
            <w:tcW w:type="dxa" w:w="1800"/>
            <w:tcBorders>
              <w:top w:val="single" w:color="CCCCCC" w:sz="2"/>
              <w:left w:val="single" w:color="CCCCCC" w:sz="2"/>
              <w:bottom w:val="single" w:color="CCCCCC" w:sz="2"/>
              <w:right w:val="single" w:color="CCCCCC" w:sz="2"/>
            </w:tcBorders>
            <w:shd w:fill="8B1A1A" w:val="clear"/>
            <w:tcMar>
              <w:top w:type="dxa" w:w="90"/>
              <w:left w:type="dxa" w:w="100"/>
              <w:bottom w:type="dxa" w:w="90"/>
              <w:right w:type="dxa" w:w="100"/>
            </w:tcMar>
          </w:tcPr>
          <w:p>
            <w:r>
              <w:rPr>
                <w:rFonts w:ascii="Arial" w:cs="Arial" w:eastAsia="Arial" w:hAnsi="Arial"/>
                <w:b/>
                <w:bCs/>
                <w:color w:val="FFFFFF"/>
                <w:sz w:val="16"/>
                <w:szCs w:val="16"/>
              </w:rPr>
              <w:t xml:space="preserve">CCSS ELA</w:t>
            </w:r>
          </w:p>
        </w:tc>
        <w:tc>
          <w:tcPr>
            <w:tcW w:type="dxa" w:w="3400"/>
            <w:tcBorders>
              <w:top w:val="single" w:color="CCCCCC" w:sz="2"/>
              <w:left w:val="single" w:color="CCCCCC" w:sz="2"/>
              <w:bottom w:val="single" w:color="CCCCCC" w:sz="2"/>
              <w:right w:val="single" w:color="CCCCCC" w:sz="2"/>
            </w:tcBorders>
            <w:shd w:fill="8B1A1A" w:val="clear"/>
            <w:tcMar>
              <w:top w:type="dxa" w:w="90"/>
              <w:left w:type="dxa" w:w="100"/>
              <w:bottom w:type="dxa" w:w="90"/>
              <w:right w:type="dxa" w:w="100"/>
            </w:tcMar>
          </w:tcPr>
          <w:p>
            <w:r>
              <w:rPr>
                <w:rFonts w:ascii="Arial" w:cs="Arial" w:eastAsia="Arial" w:hAnsi="Arial"/>
                <w:b/>
                <w:bCs/>
                <w:color w:val="FFFFFF"/>
                <w:sz w:val="16"/>
                <w:szCs w:val="16"/>
              </w:rPr>
              <w:t xml:space="preserve">Application</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4"/>
                <w:szCs w:val="14"/>
              </w:rPr>
              <w:t xml:space="preserve">1</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The Dinner Table</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MP.1 · MP.6</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SL.5.1 · RL.5.6</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Noticing question builds evidence-based observation — prerequisite for CCSS informational reading.</w:t>
            </w:r>
          </w:p>
        </w:tc>
      </w:tr>
      <w:tr>
        <w:tc>
          <w:tcPr>
            <w:tcW w:type="dxa" w:w="6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4"/>
                <w:szCs w:val="14"/>
              </w:rPr>
              <w:t xml:space="preserve">2</w:t>
            </w:r>
          </w:p>
        </w:tc>
        <w:tc>
          <w:tcPr>
            <w:tcW w:type="dxa" w:w="2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The Coaching Switch</w:t>
            </w:r>
          </w:p>
        </w:tc>
        <w:tc>
          <w:tcPr>
            <w:tcW w:type="dxa" w:w="1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MP.1 · MP.3</w:t>
            </w:r>
          </w:p>
        </w:tc>
        <w:tc>
          <w:tcPr>
            <w:tcW w:type="dxa" w:w="1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SL.5.4 · SL.6.4</w:t>
            </w:r>
          </w:p>
        </w:tc>
        <w:tc>
          <w:tcPr>
            <w:tcW w:type="dxa" w:w="34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Coaching questions parallel CCSS Speaking/Listening — present claims, support with reasoning.</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4"/>
                <w:szCs w:val="14"/>
              </w:rPr>
              <w:t xml:space="preserve">7</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The Curiosity Thieves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MP.8</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RI.5.3 · W.5.7</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Sustained inquiry reinforces CCSS research writing: ask questions, gather evidence, report findings.</w:t>
            </w:r>
          </w:p>
        </w:tc>
      </w:tr>
      <w:tr>
        <w:tc>
          <w:tcPr>
            <w:tcW w:type="dxa" w:w="6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4"/>
                <w:szCs w:val="14"/>
              </w:rPr>
              <w:t xml:space="preserve">9</w:t>
            </w:r>
          </w:p>
        </w:tc>
        <w:tc>
          <w:tcPr>
            <w:tcW w:type="dxa" w:w="2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Box Breathing</w:t>
            </w:r>
          </w:p>
        </w:tc>
        <w:tc>
          <w:tcPr>
            <w:tcW w:type="dxa" w:w="1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w:t>
            </w:r>
          </w:p>
        </w:tc>
        <w:tc>
          <w:tcPr>
            <w:tcW w:type="dxa" w:w="1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SL.3.1 · SL.4.1</w:t>
            </w:r>
          </w:p>
        </w:tc>
        <w:tc>
          <w:tcPr>
            <w:tcW w:type="dxa" w:w="34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Collaborative, focused engagement prerequisite to all CCSS Speaking/Listening tasks.</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4"/>
                <w:szCs w:val="14"/>
              </w:rPr>
              <w:t xml:space="preserve">11</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Just Start</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MP.4 · MP.5</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W.5.7 · W.7.7</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Experiment Log mirrors CCSS short research process — Grades 5 and 7.</w:t>
            </w:r>
          </w:p>
        </w:tc>
      </w:tr>
      <w:tr>
        <w:tc>
          <w:tcPr>
            <w:tcW w:type="dxa" w:w="6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4"/>
                <w:szCs w:val="14"/>
              </w:rPr>
              <w:t xml:space="preserve">14</w:t>
            </w:r>
          </w:p>
        </w:tc>
        <w:tc>
          <w:tcPr>
            <w:tcW w:type="dxa" w:w="2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What Is Money?</w:t>
            </w:r>
          </w:p>
        </w:tc>
        <w:tc>
          <w:tcPr>
            <w:tcW w:type="dxa" w:w="1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6.RP.A.3 · 7.RP.A.3 · 4.MD.A.2</w:t>
            </w:r>
          </w:p>
        </w:tc>
        <w:tc>
          <w:tcPr>
            <w:tcW w:type="dxa" w:w="1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RI.6.7</w:t>
            </w:r>
          </w:p>
        </w:tc>
        <w:tc>
          <w:tcPr>
            <w:tcW w:type="dxa" w:w="34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Four Jars applies Grade 6–7 ratio and percent standards in real financial context.</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4"/>
                <w:szCs w:val="14"/>
              </w:rPr>
              <w:t xml:space="preserve">15</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First Business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MP.4 · 6.RP.A.3</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W.6.7 · RI.6.1</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Micro-Business Plan is an applied CCSS research and mathematical modelling task.</w:t>
            </w:r>
          </w:p>
        </w:tc>
      </w:tr>
      <w:tr>
        <w:tc>
          <w:tcPr>
            <w:tcW w:type="dxa" w:w="6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4"/>
                <w:szCs w:val="14"/>
              </w:rPr>
              <w:t xml:space="preserve">17</w:t>
            </w:r>
          </w:p>
        </w:tc>
        <w:tc>
          <w:tcPr>
            <w:tcW w:type="dxa" w:w="2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Confidence Pricing</w:t>
            </w:r>
          </w:p>
        </w:tc>
        <w:tc>
          <w:tcPr>
            <w:tcW w:type="dxa" w:w="1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7.RP.A.3 · 6.NS.B.3</w:t>
            </w:r>
          </w:p>
        </w:tc>
        <w:tc>
          <w:tcPr>
            <w:tcW w:type="dxa" w:w="1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RI.6.7 · W.6.1</w:t>
            </w:r>
          </w:p>
        </w:tc>
        <w:tc>
          <w:tcPr>
            <w:tcW w:type="dxa" w:w="34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Pricing calculation applies Grade 6–7 math. Written justification reinforces argument writing.</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4"/>
                <w:szCs w:val="14"/>
              </w:rPr>
              <w:t xml:space="preserve">18</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Three Questions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MP.3 · MP.6</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W.6.1 · W.8.1 · RI.6.8</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Three Questions is a direct CCSS argument structure: claim, evidence, counter-evidence.</w:t>
            </w:r>
          </w:p>
        </w:tc>
      </w:tr>
      <w:tr>
        <w:tc>
          <w:tcPr>
            <w:tcW w:type="dxa" w:w="6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4"/>
                <w:szCs w:val="14"/>
              </w:rPr>
              <w:t xml:space="preserve">23</w:t>
            </w:r>
          </w:p>
        </w:tc>
        <w:tc>
          <w:tcPr>
            <w:tcW w:type="dxa" w:w="2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Time Audit</w:t>
            </w:r>
          </w:p>
        </w:tc>
        <w:tc>
          <w:tcPr>
            <w:tcW w:type="dxa" w:w="1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MP.1 · MP.6</w:t>
            </w:r>
          </w:p>
        </w:tc>
        <w:tc>
          <w:tcPr>
            <w:tcW w:type="dxa" w:w="1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L.5.3 · W.5.4</w:t>
            </w:r>
          </w:p>
        </w:tc>
        <w:tc>
          <w:tcPr>
            <w:tcW w:type="dxa" w:w="34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Time tracking applies mathematical precision; weekly journal reinforces clear, organised writing.</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4"/>
                <w:szCs w:val="14"/>
              </w:rPr>
              <w:t xml:space="preserve">27</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The Pitch</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SL.6.4 · SL.7.4 · SL.8.4</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Five-Part Pitch is the Speaking/Listening Grade 6–8 progression applied in real context.</w:t>
            </w:r>
          </w:p>
        </w:tc>
      </w:tr>
      <w:tr>
        <w:tc>
          <w:tcPr>
            <w:tcW w:type="dxa" w:w="6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4"/>
                <w:szCs w:val="14"/>
              </w:rPr>
              <w:t xml:space="preserve">29</w:t>
            </w:r>
          </w:p>
        </w:tc>
        <w:tc>
          <w:tcPr>
            <w:tcW w:type="dxa" w:w="2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Business Story</w:t>
            </w:r>
          </w:p>
        </w:tc>
        <w:tc>
          <w:tcPr>
            <w:tcW w:type="dxa" w:w="1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w:t>
            </w:r>
          </w:p>
        </w:tc>
        <w:tc>
          <w:tcPr>
            <w:tcW w:type="dxa" w:w="1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W.7.3 · W.8.3 · RL.7.6</w:t>
            </w:r>
          </w:p>
        </w:tc>
        <w:tc>
          <w:tcPr>
            <w:tcW w:type="dxa" w:w="34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Business Story reinforces CCSS narrative writing — Grade 7–8 craft and structure standards.</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4"/>
                <w:szCs w:val="14"/>
              </w:rPr>
              <w:t xml:space="preserve">35</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Idea Collision</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MP.2 · MP.7</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W.7.3 · RI.8.7</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Creative idea generation applies abstract reasoning; source evaluation mirrors RI.8.7.</w:t>
            </w:r>
          </w:p>
        </w:tc>
      </w:tr>
      <w:tr>
        <w:tc>
          <w:tcPr>
            <w:tcW w:type="dxa" w:w="6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4"/>
                <w:szCs w:val="14"/>
              </w:rPr>
              <w:t xml:space="preserve">40</w:t>
            </w:r>
          </w:p>
        </w:tc>
        <w:tc>
          <w:tcPr>
            <w:tcW w:type="dxa" w:w="2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The Mentor</w:t>
            </w:r>
          </w:p>
        </w:tc>
        <w:tc>
          <w:tcPr>
            <w:tcW w:type="dxa" w:w="1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MP.3</w:t>
            </w:r>
          </w:p>
        </w:tc>
        <w:tc>
          <w:tcPr>
            <w:tcW w:type="dxa" w:w="1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SL.8.1 · W.8.1</w:t>
            </w:r>
          </w:p>
        </w:tc>
        <w:tc>
          <w:tcPr>
            <w:tcW w:type="dxa" w:w="34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Mentoring conversation reinforces Grade 8 collaborative discussion and argumentation standards.</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4"/>
                <w:szCs w:val="14"/>
              </w:rPr>
              <w:t xml:space="preserve">48</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Integrity Check</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MP.3</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W.8.1 · SL.8.4</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Ethical decision-making reinforces argumentative reasoning — core CCSS cross-curricular skill.</w:t>
            </w:r>
          </w:p>
        </w:tc>
      </w:tr>
      <w:tr>
        <w:tc>
          <w:tcPr>
            <w:tcW w:type="dxa" w:w="6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1A1A"/>
                <w:sz w:val="14"/>
                <w:szCs w:val="14"/>
              </w:rPr>
              <w:t xml:space="preserve">52</w:t>
            </w:r>
          </w:p>
        </w:tc>
        <w:tc>
          <w:tcPr>
            <w:tcW w:type="dxa" w:w="2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Year-End Review</w:t>
            </w:r>
          </w:p>
        </w:tc>
        <w:tc>
          <w:tcPr>
            <w:tcW w:type="dxa" w:w="1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MP.1–MP.8</w:t>
            </w:r>
          </w:p>
        </w:tc>
        <w:tc>
          <w:tcPr>
            <w:tcW w:type="dxa" w:w="18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W.8.1 · W.8.3 · SL.8.4 · L.8.3</w:t>
            </w:r>
          </w:p>
        </w:tc>
        <w:tc>
          <w:tcPr>
            <w:tcW w:type="dxa" w:w="3400"/>
            <w:tcBorders>
              <w:top w:val="single" w:color="CCCCCC" w:sz="2"/>
              <w:left w:val="single" w:color="CCCCCC" w:sz="2"/>
              <w:bottom w:val="single" w:color="CCCCCC" w:sz="2"/>
              <w:right w:val="single" w:color="CCCCCC" w:sz="2"/>
            </w:tcBorders>
            <w:shd w:fill="FFF0F0"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Year-End Review integrates all Mathematical Practices and Grade 8 ELA writing and speaking standards.</w:t>
            </w:r>
          </w:p>
        </w:tc>
      </w:tr>
    </w:tbl>
    <w:p>
      <w:pPr>
        <w:spacing w:after="36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8B1A1A"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3: IMPLEMENTATION FOR SCHOOLS</w:t>
            </w:r>
          </w:p>
        </w:tc>
      </w:tr>
      <w:tr>
        <w:tc>
          <w:tcPr>
            <w:tcW w:type="dxa" w:w="10080"/>
            <w:tcBorders>
              <w:top w:val="none"/>
              <w:left w:val="none"/>
              <w:bottom w:val="none"/>
              <w:right w:val="none"/>
            </w:tcBorders>
            <w:shd w:fill="8B1A1A" w:val="clear"/>
            <w:tcMar>
              <w:top w:type="dxa" w:w="0"/>
              <w:left w:type="dxa" w:w="240"/>
              <w:bottom w:type="dxa" w:w="130"/>
              <w:right w:type="dxa" w:w="240"/>
            </w:tcMar>
          </w:tcPr>
          <w:p>
            <w:pPr>
              <w:jc w:val="center"/>
            </w:pPr>
            <w:r>
              <w:rPr>
                <w:rFonts w:ascii="Arial" w:cs="Arial" w:eastAsia="Arial" w:hAnsi="Arial"/>
                <w:color w:val="AABBCC"/>
                <w:sz w:val="17"/>
                <w:szCs w:val="17"/>
              </w:rPr>
              <w:t xml:space="preserve">Three models · Classroom integration · Family engagement</w:t>
            </w:r>
          </w:p>
        </w:tc>
      </w:tr>
    </w:tbl>
    <w:p>
      <w:pPr>
        <w:spacing w:after="280" w:before="0"/>
      </w:pPr>
    </w:p>
    <w:p>
      <w:pPr>
        <w:spacing w:after="150" w:before="0" w:line="280" w:lineRule="auto"/>
        <w:jc w:val="both"/>
      </w:pPr>
      <w:r>
        <w:rPr>
          <w:rFonts w:ascii="Arial" w:cs="Arial" w:eastAsia="Arial" w:hAnsi="Arial"/>
          <w:b w:val="false"/>
          <w:bCs w:val="false"/>
          <w:i w:val="false"/>
          <w:iCs w:val="false"/>
          <w:color w:val="444444"/>
          <w:sz w:val="19"/>
          <w:szCs w:val="19"/>
        </w:rPr>
        <w:t xml:space="preserve">For US schools using Common Core standards, the programme is particularly effective as a family engagement complement to CCSS mathematical reasoning and ELA speaking/listening strands. Teachers can reference specific CCSS standards when communicating with families about the home challenges, reinforcing the connection between classroom standards and home practice.</w:t>
      </w:r>
    </w:p>
    <w:p>
      <w:pPr>
        <w:spacing w:after="2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8B1A1A" w:val="clear"/>
            <w:tcMar>
              <w:top w:type="dxa" w:w="100"/>
              <w:left w:type="dxa" w:w="180"/>
              <w:bottom w:type="dxa" w:w="100"/>
              <w:right w:type="dxa" w:w="180"/>
            </w:tcMar>
          </w:tcPr>
          <w:p>
            <w:r>
              <w:rPr>
                <w:rFonts w:ascii="Arial" w:cs="Arial" w:eastAsia="Arial" w:hAnsi="Arial"/>
                <w:b/>
                <w:bCs/>
                <w:color w:val="FFFFFF"/>
                <w:sz w:val="18"/>
                <w:szCs w:val="18"/>
              </w:rPr>
              <w:t xml:space="preserve">Model 1 — Family Engagement (Recommended Starting Point)</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single" w:color="8B1A1A" w:sz="12"/>
              <w:bottom w:val="single" w:color="DDDDDD" w:sz="2"/>
              <w:right w:val="none"/>
            </w:tcBorders>
            <w:shd w:fill="FFF0F0" w:val="clear"/>
            <w:tcMar>
              <w:top w:type="dxa" w:w="110"/>
              <w:left w:type="dxa" w:w="200"/>
              <w:bottom w:type="dxa" w:w="110"/>
              <w:right w:type="dxa" w:w="180"/>
            </w:tcMar>
          </w:tcPr>
          <w:p>
            <w:pPr>
              <w:spacing w:after="80" w:before="0" w:line="270" w:lineRule="auto"/>
            </w:pPr>
            <w:r>
              <w:rPr>
                <w:rFonts w:ascii="Arial" w:cs="Arial" w:eastAsia="Arial" w:hAnsi="Arial"/>
                <w:color w:val="444444"/>
                <w:sz w:val="18"/>
                <w:szCs w:val="18"/>
              </w:rPr>
              <w:t xml:space="preserve">The school recommends the programme to families through newsletters or parent communications. No administration required. Zero cost. The school may provide the curriculum alignment document to parents to show how the home programme reinforces classroom learning.</w:t>
            </w:r>
          </w:p>
          <w:p>
            <w:pPr>
              <w:spacing w:after="0" w:before="0"/>
            </w:pPr>
            <w:r>
              <w:rPr>
                <w:rFonts w:ascii="Arial" w:cs="Arial" w:eastAsia="Arial" w:hAnsi="Arial"/>
                <w:color w:val="8B1A1A"/>
                <w:sz w:val="15"/>
                <w:szCs w:val="15"/>
              </w:rPr>
              <w:t xml:space="preserve">IMPLEMENTATION: Zero admin · Zero cost · Implement this week</w:t>
            </w:r>
          </w:p>
        </w:tc>
      </w:tr>
    </w:tbl>
    <w:p>
      <w:pPr>
        <w:spacing w:after="2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8B1A1A" w:val="clear"/>
            <w:tcMar>
              <w:top w:type="dxa" w:w="100"/>
              <w:left w:type="dxa" w:w="180"/>
              <w:bottom w:type="dxa" w:w="100"/>
              <w:right w:type="dxa" w:w="180"/>
            </w:tcMar>
          </w:tcPr>
          <w:p>
            <w:r>
              <w:rPr>
                <w:rFonts w:ascii="Arial" w:cs="Arial" w:eastAsia="Arial" w:hAnsi="Arial"/>
                <w:b/>
                <w:bCs/>
                <w:color w:val="FFFFFF"/>
                <w:sz w:val="18"/>
                <w:szCs w:val="18"/>
              </w:rPr>
              <w:t xml:space="preserve">Model 2 — Classroom or Homeroom Integration</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single" w:color="8B1A1A" w:sz="12"/>
              <w:bottom w:val="single" w:color="DDDDDD" w:sz="2"/>
              <w:right w:val="none"/>
            </w:tcBorders>
            <w:shd w:fill="FFF0F0" w:val="clear"/>
            <w:tcMar>
              <w:top w:type="dxa" w:w="110"/>
              <w:left w:type="dxa" w:w="200"/>
              <w:bottom w:type="dxa" w:w="110"/>
              <w:right w:type="dxa" w:w="180"/>
            </w:tcMar>
          </w:tcPr>
          <w:p>
            <w:pPr>
              <w:spacing w:after="80" w:before="0" w:line="270" w:lineRule="auto"/>
            </w:pPr>
            <w:r>
              <w:rPr>
                <w:rFonts w:ascii="Arial" w:cs="Arial" w:eastAsia="Arial" w:hAnsi="Arial"/>
                <w:color w:val="444444"/>
                <w:sz w:val="18"/>
                <w:szCs w:val="18"/>
              </w:rPr>
              <w:t xml:space="preserve">Teacher shows the 60-second animated episode (#UdyamMe_EntrepreneurialChild) weekly and facilitates a brief discussion connecting it to the current unit or topic. Students maintain Idea Notebooks as a reflection journal. 15 minutes per week.</w:t>
            </w:r>
          </w:p>
          <w:p>
            <w:pPr>
              <w:spacing w:after="0" w:before="0"/>
            </w:pPr>
            <w:r>
              <w:rPr>
                <w:rFonts w:ascii="Arial" w:cs="Arial" w:eastAsia="Arial" w:hAnsi="Arial"/>
                <w:color w:val="8B1A1A"/>
                <w:sz w:val="15"/>
                <w:szCs w:val="15"/>
              </w:rPr>
              <w:t xml:space="preserve">IMPLEMENTATION: 15 min/week · Minimal preparation · Curriculum coordinator oversight</w:t>
            </w:r>
          </w:p>
        </w:tc>
      </w:tr>
    </w:tbl>
    <w:p>
      <w:pPr>
        <w:spacing w:after="2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8B1A1A" w:val="clear"/>
            <w:tcMar>
              <w:top w:type="dxa" w:w="100"/>
              <w:left w:type="dxa" w:w="180"/>
              <w:bottom w:type="dxa" w:w="100"/>
              <w:right w:type="dxa" w:w="180"/>
            </w:tcMar>
          </w:tcPr>
          <w:p>
            <w:r>
              <w:rPr>
                <w:rFonts w:ascii="Arial" w:cs="Arial" w:eastAsia="Arial" w:hAnsi="Arial"/>
                <w:b/>
                <w:bCs/>
                <w:color w:val="FFFFFF"/>
                <w:sz w:val="18"/>
                <w:szCs w:val="18"/>
              </w:rPr>
              <w:t xml:space="preserve">Model 3 — Formal Co-curricular or Cross-curricular Strand</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single" w:color="8B1A1A" w:sz="12"/>
              <w:bottom w:val="single" w:color="DDDDDD" w:sz="2"/>
              <w:right w:val="none"/>
            </w:tcBorders>
            <w:shd w:fill="FFF0F0" w:val="clear"/>
            <w:tcMar>
              <w:top w:type="dxa" w:w="110"/>
              <w:left w:type="dxa" w:w="200"/>
              <w:bottom w:type="dxa" w:w="110"/>
              <w:right w:type="dxa" w:w="180"/>
            </w:tcMar>
          </w:tcPr>
          <w:p>
            <w:pPr>
              <w:spacing w:after="80" w:before="0" w:line="270" w:lineRule="auto"/>
            </w:pPr>
            <w:r>
              <w:rPr>
                <w:rFonts w:ascii="Arial" w:cs="Arial" w:eastAsia="Arial" w:hAnsi="Arial"/>
                <w:color w:val="444444"/>
                <w:sz w:val="18"/>
                <w:szCs w:val="18"/>
              </w:rPr>
              <w:t xml:space="preserve">The programme is embedded with explicit curriculum references. Idea Notebooks serve as assessment portfolios. Phase Reviews (Weeks 13, 26, 39, 52) align to assessment milestones. The Year-End Review functions as a personal project or extended response.</w:t>
            </w:r>
          </w:p>
          <w:p>
            <w:pPr>
              <w:spacing w:after="0" w:before="0"/>
            </w:pPr>
            <w:r>
              <w:rPr>
                <w:rFonts w:ascii="Arial" w:cs="Arial" w:eastAsia="Arial" w:hAnsi="Arial"/>
                <w:color w:val="8B1A1A"/>
                <w:sz w:val="15"/>
                <w:szCs w:val="15"/>
              </w:rPr>
              <w:t xml:space="preserve">IMPLEMENTATION: Full integration · Portfolio evidence · Cross-subject coordination</w:t>
            </w:r>
          </w:p>
        </w:tc>
      </w:tr>
    </w:tbl>
    <w:p>
      <w:pPr>
        <w:spacing w:after="200" w:before="0"/>
      </w:pPr>
    </w:p>
    <w:p>
      <w:pPr>
        <w:spacing w:after="16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8B1A1A"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4: ASSESSMENT AND PORTFOLIO EVIDENCE</w:t>
            </w:r>
          </w:p>
        </w:tc>
      </w:tr>
      <w:tr>
        <w:tc>
          <w:tcPr>
            <w:tcW w:type="dxa" w:w="10080"/>
            <w:tcBorders>
              <w:top w:val="none"/>
              <w:left w:val="none"/>
              <w:bottom w:val="none"/>
              <w:right w:val="none"/>
            </w:tcBorders>
            <w:shd w:fill="8B1A1A" w:val="clear"/>
            <w:tcMar>
              <w:top w:type="dxa" w:w="0"/>
              <w:left w:type="dxa" w:w="240"/>
              <w:bottom w:type="dxa" w:w="130"/>
              <w:right w:type="dxa" w:w="240"/>
            </w:tcMar>
          </w:tcPr>
          <w:p>
            <w:pPr>
              <w:jc w:val="center"/>
            </w:pPr>
            <w:r>
              <w:rPr>
                <w:rFonts w:ascii="Arial" w:cs="Arial" w:eastAsia="Arial" w:hAnsi="Arial"/>
                <w:color w:val="AABBCC"/>
                <w:sz w:val="17"/>
                <w:szCs w:val="17"/>
              </w:rPr>
              <w:t xml:space="preserve">Idea Notebook · Assessment criteria · Evidence mapping</w:t>
            </w:r>
          </w:p>
        </w:tc>
      </w:tr>
    </w:tbl>
    <w:p>
      <w:pPr>
        <w:spacing w:after="280" w:before="0"/>
      </w:pPr>
    </w:p>
    <w:p>
      <w:pPr>
        <w:spacing w:after="150" w:before="0" w:line="280" w:lineRule="auto"/>
        <w:jc w:val="both"/>
      </w:pPr>
      <w:r>
        <w:rPr>
          <w:rFonts w:ascii="Arial" w:cs="Arial" w:eastAsia="Arial" w:hAnsi="Arial"/>
          <w:b w:val="false"/>
          <w:bCs w:val="false"/>
          <w:i w:val="false"/>
          <w:iCs w:val="false"/>
          <w:color w:val="444444"/>
          <w:sz w:val="19"/>
          <w:szCs w:val="19"/>
        </w:rPr>
        <w:t xml:space="preserve">For CCSS-aligned schools, the Idea Notebook provides evidence across the CCSS Mathematical Practices (especially MP.1, MP.3, MP.6) and ELA Writing and Speaking/Listening standards. The Experiment Log is directly alignable to Grade 5–8 research writing standards. Phase Reviews provide structured written evidence alignable to W.6–8 argumentative and informational writing criteria.</w:t>
      </w:r>
    </w:p>
    <w:p>
      <w:pPr>
        <w:spacing w:after="2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single" w:color="8B1A1A" w:sz="4"/>
              <w:left w:val="single" w:color="8B1A1A" w:sz="14"/>
              <w:bottom w:val="single" w:color="8B1A1A" w:sz="4"/>
              <w:right w:val="none"/>
            </w:tcBorders>
            <w:shd w:fill="FFF0F0" w:val="clear"/>
            <w:tcMar>
              <w:top w:type="dxa" w:w="120"/>
              <w:left w:type="dxa" w:w="200"/>
              <w:bottom w:type="dxa" w:w="120"/>
              <w:right w:type="dxa" w:w="180"/>
            </w:tcMar>
          </w:tcPr>
          <w:p>
            <w:pPr>
              <w:spacing w:after="65" w:before="0" w:line="265" w:lineRule="auto"/>
            </w:pPr>
            <w:r>
              <w:rPr>
                <w:rFonts w:ascii="Arial" w:cs="Arial" w:eastAsia="Arial" w:hAnsi="Arial"/>
                <w:color w:val="444444"/>
                <w:sz w:val="18"/>
                <w:szCs w:val="18"/>
              </w:rPr>
              <w:t xml:space="preserve">IDEA NOTEBOOK SECTION → ASSESSMENT EVIDENCE</w:t>
            </w:r>
          </w:p>
          <w:p>
            <w:pPr>
              <w:spacing w:after="65" w:before="0" w:line="265" w:lineRule="auto"/>
            </w:pPr>
            <w:r>
              <w:rPr>
                <w:rFonts w:ascii="Arial" w:cs="Arial" w:eastAsia="Arial" w:hAnsi="Arial"/>
                <w:color w:val="444444"/>
                <w:sz w:val="18"/>
                <w:szCs w:val="18"/>
              </w:rPr>
              <w:t xml:space="preserve">Weekly Noticing Entries (52, dated) → Personal development log · Reflective writing · Observation skills</w:t>
            </w:r>
          </w:p>
          <w:p>
            <w:pPr>
              <w:spacing w:after="65" w:before="0" w:line="265" w:lineRule="auto"/>
            </w:pPr>
            <w:r>
              <w:rPr>
                <w:rFonts w:ascii="Arial" w:cs="Arial" w:eastAsia="Arial" w:hAnsi="Arial"/>
                <w:color w:val="444444"/>
                <w:sz w:val="18"/>
                <w:szCs w:val="18"/>
              </w:rPr>
              <w:t xml:space="preserve">Open Questions Record → Inquiry skills · Research initiation · Critical questioning</w:t>
            </w:r>
          </w:p>
          <w:p>
            <w:pPr>
              <w:spacing w:after="65" w:before="0" w:line="265" w:lineRule="auto"/>
            </w:pPr>
            <w:r>
              <w:rPr>
                <w:rFonts w:ascii="Arial" w:cs="Arial" w:eastAsia="Arial" w:hAnsi="Arial"/>
                <w:color w:val="444444"/>
                <w:sz w:val="18"/>
                <w:szCs w:val="18"/>
              </w:rPr>
              <w:t xml:space="preserve">Experiment Log (Try · Happen · Learn) → Scientific method · Problem-solving · Analytical writing</w:t>
            </w:r>
          </w:p>
          <w:p>
            <w:pPr>
              <w:spacing w:after="65" w:before="0" w:line="265" w:lineRule="auto"/>
            </w:pPr>
            <w:r>
              <w:rPr>
                <w:rFonts w:ascii="Arial" w:cs="Arial" w:eastAsia="Arial" w:hAnsi="Arial"/>
                <w:color w:val="444444"/>
                <w:sz w:val="18"/>
                <w:szCs w:val="18"/>
              </w:rPr>
              <w:t xml:space="preserve">Three Questions Reflection → Self-assessment · Critical and creative thinking · Metacognition</w:t>
            </w:r>
          </w:p>
          <w:p>
            <w:pPr>
              <w:spacing w:after="65" w:before="0" w:line="265" w:lineRule="auto"/>
            </w:pPr>
            <w:r>
              <w:rPr>
                <w:rFonts w:ascii="Arial" w:cs="Arial" w:eastAsia="Arial" w:hAnsi="Arial"/>
                <w:color w:val="444444"/>
                <w:sz w:val="18"/>
                <w:szCs w:val="18"/>
              </w:rPr>
              <w:t xml:space="preserve">Four Jars Money Record → Numeracy · Financial literacy · Data recording</w:t>
            </w:r>
          </w:p>
          <w:p>
            <w:pPr>
              <w:spacing w:after="65" w:before="0" w:line="265" w:lineRule="auto"/>
            </w:pPr>
            <w:r>
              <w:rPr>
                <w:rFonts w:ascii="Arial" w:cs="Arial" w:eastAsia="Arial" w:hAnsi="Arial"/>
                <w:color w:val="444444"/>
                <w:sz w:val="18"/>
                <w:szCs w:val="18"/>
              </w:rPr>
              <w:t xml:space="preserve">Phase Reviews (×4, Weeks 13/26/39/52) → Summative reflection · Progress documentation · Portfolio milestones</w:t>
            </w:r>
          </w:p>
          <w:p>
            <w:pPr>
              <w:spacing w:after="65" w:before="0" w:line="265" w:lineRule="auto"/>
            </w:pPr>
            <w:r>
              <w:rPr>
                <w:rFonts w:ascii="Arial" w:cs="Arial" w:eastAsia="Arial" w:hAnsi="Arial"/>
                <w:color w:val="444444"/>
                <w:sz w:val="18"/>
                <w:szCs w:val="18"/>
              </w:rPr>
              <w:t xml:space="preserve">Year-End Letter (Week 52) → Extended response · Year-long synthesis · Personal project equivalent</w:t>
            </w:r>
          </w:p>
        </w:tc>
      </w:tr>
    </w:tbl>
    <w:p>
      <w:pPr>
        <w:spacing w:after="400" w:before="0"/>
      </w:pPr>
    </w:p>
    <w:p>
      <w:pPr>
        <w:pBdr>
          <w:bottom w:val="single" w:color="8B1A1A" w:sz="3"/>
        </w:pBdr>
        <w:spacing w:after="120" w:before="120"/>
      </w:pPr>
    </w:p>
    <w:p>
      <w:pPr>
        <w:spacing w:after="240" w:before="0"/>
      </w:pPr>
    </w:p>
    <w:p>
      <w:pPr>
        <w:spacing w:after="60" w:before="0"/>
        <w:jc w:val="center"/>
      </w:pPr>
      <w:r>
        <w:rPr>
          <w:rFonts w:ascii="Arial" w:cs="Arial" w:eastAsia="Arial" w:hAnsi="Arial"/>
          <w:color w:val="888888"/>
          <w:sz w:val="18"/>
          <w:szCs w:val="18"/>
        </w:rPr>
        <w:t xml:space="preserve">SimpleJoy | SaralAnand is aligned to Common Core State Standards as published by the National Governors Association and CCSSO. For enquiries: simplejoyfamily.com/schools</w:t>
      </w:r>
    </w:p>
    <w:p>
      <w:pPr>
        <w:spacing w:after="50" w:before="0"/>
        <w:jc w:val="center"/>
      </w:pPr>
      <w:r>
        <w:rPr>
          <w:rFonts w:ascii="Arial" w:cs="Arial" w:eastAsia="Arial" w:hAnsi="Arial"/>
          <w:b/>
          <w:bCs/>
          <w:color w:val="B8860B"/>
          <w:sz w:val="17"/>
          <w:szCs w:val="17"/>
        </w:rPr>
        <w:t xml:space="preserve">All six curriculum alignment documents: simplejoyfamily.com/schools</w:t>
      </w:r>
    </w:p>
    <w:p>
      <w:pPr>
        <w:spacing w:after="160" w:before="0"/>
      </w:pPr>
    </w:p>
    <w:p>
      <w:pPr>
        <w:spacing w:after="60" w:before="0"/>
        <w:jc w:val="center"/>
      </w:pPr>
      <w:r>
        <w:rPr>
          <w:rFonts w:ascii="Georgia" w:cs="Georgia" w:eastAsia="Georgia" w:hAnsi="Georgia"/>
          <w:color w:val="1F3864"/>
          <w:sz w:val="20"/>
          <w:szCs w:val="20"/>
        </w:rPr>
        <w:t xml:space="preserve">"Don't be awed. Create awe."</w:t>
      </w:r>
    </w:p>
    <w:p>
      <w:pPr>
        <w:spacing w:after="60" w:before="0"/>
        <w:jc w:val="center"/>
      </w:pPr>
      <w:r>
        <w:rPr>
          <w:rFonts w:ascii="Arial" w:cs="Arial" w:eastAsia="Arial" w:hAnsi="Arial"/>
          <w:color w:val="888888"/>
          <w:sz w:val="16"/>
          <w:szCs w:val="16"/>
        </w:rPr>
        <w:t xml:space="preserve">Vishnu Shanker and Nivedita Shanker  ·  SimpleJoy | SaralAnand Foundation  ·  simplejoyfamily.com</w:t>
      </w:r>
    </w:p>
    <w:sectPr>
      <w:pgSz w:w="12240" w:h="15840" w:orient="portrait"/>
      <w:pgMar w:top="90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2026-07-13T16:52:21.602Z</dcterms:created>
  <dcterms:modified xsi:type="dcterms:W3CDTF">2026-07-13T16:52:21.602Z</dcterms:modified>
</cp:coreProperties>
</file>

<file path=docProps/custom.xml><?xml version="1.0" encoding="utf-8"?>
<Properties xmlns="http://schemas.openxmlformats.org/officeDocument/2006/custom-properties" xmlns:vt="http://schemas.openxmlformats.org/officeDocument/2006/docPropsVTypes"/>
</file>