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0" w:before="0"/>
      </w:pP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10080"/>
            <w:tcBorders>
              <w:top w:val="none"/>
              <w:left w:val="none"/>
              <w:bottom w:val="none"/>
              <w:right w:val="none"/>
            </w:tcBorders>
            <w:shd w:fill="1F3864" w:val="clear"/>
            <w:tcMar>
              <w:top w:type="dxa" w:w="160"/>
              <w:left w:type="dxa" w:w="240"/>
              <w:bottom w:type="dxa" w:w="160"/>
              <w:right w:type="dxa" w:w="240"/>
            </w:tcMar>
          </w:tcPr>
          <w:p>
            <w:pPr>
              <w:jc w:val="center"/>
            </w:pPr>
            <w:r>
              <w:rPr>
                <w:rFonts w:ascii="Arial" w:cs="Arial" w:eastAsia="Arial" w:hAnsi="Arial"/>
                <w:b/>
                <w:bCs/>
                <w:color w:val="B8860B"/>
                <w:sz w:val="18"/>
                <w:szCs w:val="18"/>
              </w:rPr>
              <w:t xml:space="preserve">SimpleJoy | SaralAnand Foundation</w:t>
            </w:r>
          </w:p>
        </w:tc>
      </w:tr>
    </w:tbl>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10080"/>
            <w:tcBorders>
              <w:top w:val="none"/>
              <w:left w:val="none"/>
              <w:bottom w:val="none"/>
              <w:right w:val="none"/>
            </w:tcBorders>
            <w:shd w:fill="8B4500" w:val="clear"/>
            <w:tcMar>
              <w:top w:type="dxa" w:w="160"/>
              <w:left w:type="dxa" w:w="240"/>
              <w:bottom w:type="dxa" w:w="80"/>
              <w:right w:type="dxa" w:w="240"/>
            </w:tcMar>
          </w:tcPr>
          <w:p>
            <w:pPr>
              <w:jc w:val="center"/>
            </w:pPr>
            <w:r>
              <w:rPr>
                <w:rFonts w:ascii="Arial" w:cs="Arial" w:eastAsia="Arial" w:hAnsi="Arial"/>
                <w:b/>
                <w:bCs/>
                <w:color w:val="FFFFFF"/>
                <w:sz w:val="24"/>
                <w:szCs w:val="24"/>
              </w:rPr>
              <w:t xml:space="preserve">CBSE / NCERT CURRICULUM</w:t>
            </w:r>
          </w:p>
        </w:tc>
      </w:tr>
      <w:tr>
        <w:tc>
          <w:tcPr>
            <w:tcW w:type="dxa" w:w="10080"/>
            <w:tcBorders>
              <w:top w:val="none"/>
              <w:left w:val="none"/>
              <w:bottom w:val="none"/>
              <w:right w:val="none"/>
            </w:tcBorders>
            <w:shd w:fill="8B4500" w:val="clear"/>
            <w:tcMar>
              <w:top w:type="dxa" w:w="0"/>
              <w:left w:type="dxa" w:w="240"/>
              <w:bottom w:type="dxa" w:w="130"/>
              <w:right w:type="dxa" w:w="240"/>
            </w:tcMar>
          </w:tcPr>
          <w:p>
            <w:pPr>
              <w:jc w:val="center"/>
            </w:pPr>
            <w:r>
              <w:rPr>
                <w:rFonts w:ascii="Arial" w:cs="Arial" w:eastAsia="Arial" w:hAnsi="Arial"/>
                <w:color w:val="AABBCC"/>
                <w:sz w:val="17"/>
                <w:szCs w:val="17"/>
              </w:rPr>
              <w:t xml:space="preserve">Central Board of Secondary Education · India · Classes 3–12</w:t>
            </w:r>
          </w:p>
        </w:tc>
      </w:tr>
    </w:tbl>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10080"/>
            <w:tcBorders>
              <w:top w:val="none"/>
              <w:left w:val="none"/>
              <w:bottom w:val="none"/>
              <w:right w:val="none"/>
            </w:tcBorders>
            <w:shd w:fill="1F3864" w:val="clear"/>
            <w:tcMar>
              <w:top w:type="dxa" w:w="160"/>
              <w:left w:type="dxa" w:w="240"/>
              <w:bottom w:type="dxa" w:w="80"/>
              <w:right w:type="dxa" w:w="240"/>
            </w:tcMar>
          </w:tcPr>
          <w:p>
            <w:pPr>
              <w:jc w:val="center"/>
            </w:pPr>
            <w:r>
              <w:rPr>
                <w:rFonts w:ascii="Arial" w:cs="Arial" w:eastAsia="Arial" w:hAnsi="Arial"/>
                <w:b/>
                <w:bCs/>
                <w:color w:val="FFFFFF"/>
                <w:sz w:val="20"/>
                <w:szCs w:val="20"/>
              </w:rPr>
              <w:t xml:space="preserve">Curriculum Alignment Document</w:t>
            </w:r>
          </w:p>
        </w:tc>
      </w:tr>
      <w:tr>
        <w:tc>
          <w:tcPr>
            <w:tcW w:type="dxa" w:w="10080"/>
            <w:tcBorders>
              <w:top w:val="none"/>
              <w:left w:val="none"/>
              <w:bottom w:val="none"/>
              <w:right w:val="none"/>
            </w:tcBorders>
            <w:shd w:fill="1F3864" w:val="clear"/>
            <w:tcMar>
              <w:top w:type="dxa" w:w="0"/>
              <w:left w:type="dxa" w:w="240"/>
              <w:bottom w:type="dxa" w:w="130"/>
              <w:right w:type="dxa" w:w="240"/>
            </w:tcMar>
          </w:tcPr>
          <w:p>
            <w:pPr>
              <w:jc w:val="center"/>
            </w:pPr>
            <w:r>
              <w:rPr>
                <w:rFonts w:ascii="Arial" w:cs="Arial" w:eastAsia="Arial" w:hAnsi="Arial"/>
                <w:color w:val="AABBCC"/>
                <w:sz w:val="17"/>
                <w:szCs w:val="17"/>
              </w:rPr>
              <w:t xml:space="preserve">Raising An Entrepreneur: SimpleJoy | SaralAnand — 52-Week Family Programme</w:t>
            </w:r>
          </w:p>
        </w:tc>
      </w:tr>
    </w:tbl>
    <w:p>
      <w:pPr>
        <w:spacing w:after="320" w:before="0"/>
      </w:pP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10080"/>
            <w:tcBorders>
              <w:top w:val="single" w:color="8B4500" w:sz="4"/>
              <w:left w:val="single" w:color="8B4500" w:sz="14"/>
              <w:bottom w:val="single" w:color="8B4500" w:sz="4"/>
              <w:right w:val="none"/>
            </w:tcBorders>
            <w:shd w:fill="FFF5EA" w:val="clear"/>
            <w:tcMar>
              <w:top w:type="dxa" w:w="120"/>
              <w:left w:type="dxa" w:w="200"/>
              <w:bottom w:type="dxa" w:w="120"/>
              <w:right w:type="dxa" w:w="180"/>
            </w:tcMar>
          </w:tcPr>
          <w:p>
            <w:pPr>
              <w:spacing w:after="65" w:before="0" w:line="265" w:lineRule="auto"/>
            </w:pPr>
            <w:r>
              <w:rPr>
                <w:rFonts w:ascii="Arial" w:cs="Arial" w:eastAsia="Arial" w:hAnsi="Arial"/>
                <w:color w:val="444444"/>
                <w:sz w:val="18"/>
                <w:szCs w:val="18"/>
              </w:rPr>
              <w:t xml:space="preserve">CURRICULUM: CBSE — National Curriculum Framework 2023 (NCF) · NCERT Textbooks and Learning Outcomes</w:t>
            </w:r>
          </w:p>
          <w:p>
            <w:pPr>
              <w:spacing w:after="65" w:before="0" w:line="265" w:lineRule="auto"/>
            </w:pPr>
            <w:r>
              <w:rPr>
                <w:rFonts w:ascii="Arial" w:cs="Arial" w:eastAsia="Arial" w:hAnsi="Arial"/>
                <w:color w:val="444444"/>
                <w:sz w:val="18"/>
                <w:szCs w:val="18"/>
              </w:rPr>
              <w:t xml:space="preserve">CLASS RANGE: Classes 3–10 (Ages 8–16) · Primary focus: Classes 5–9</w:t>
            </w:r>
          </w:p>
          <w:p>
            <w:pPr>
              <w:spacing w:after="65" w:before="0" w:line="265" w:lineRule="auto"/>
            </w:pPr>
            <w:r>
              <w:rPr>
                <w:rFonts w:ascii="Arial" w:cs="Arial" w:eastAsia="Arial" w:hAnsi="Arial"/>
                <w:color w:val="444444"/>
                <w:sz w:val="18"/>
                <w:szCs w:val="18"/>
              </w:rPr>
              <w:t xml:space="preserve">SUBJECTS: Mathematics · English · Social Science · Life Skills · Vocational Education · NEP 2020 competencies</w:t>
            </w:r>
          </w:p>
          <w:p>
            <w:pPr>
              <w:spacing w:after="65" w:before="0" w:line="265" w:lineRule="auto"/>
            </w:pPr>
            <w:r>
              <w:rPr>
                <w:rFonts w:ascii="Arial" w:cs="Arial" w:eastAsia="Arial" w:hAnsi="Arial"/>
                <w:color w:val="444444"/>
                <w:sz w:val="18"/>
                <w:szCs w:val="18"/>
              </w:rPr>
              <w:t xml:space="preserve">DOCUMENT PURPOSE: Family engagement and school alignment for CBSE-affiliated schools across India and internationally</w:t>
            </w:r>
          </w:p>
          <w:p>
            <w:pPr>
              <w:spacing w:after="65" w:before="0" w:line="265" w:lineRule="auto"/>
            </w:pPr>
            <w:r>
              <w:rPr>
                <w:rFonts w:ascii="Arial" w:cs="Arial" w:eastAsia="Arial" w:hAnsi="Arial"/>
                <w:color w:val="444444"/>
                <w:sz w:val="18"/>
                <w:szCs w:val="18"/>
              </w:rPr>
              <w:t xml:space="preserve">VERSION: Aligned to NCF 2023, NEP 2020 framework, and current NCERT Learning Outcomes Documents</w:t>
            </w:r>
          </w:p>
        </w:tc>
      </w:tr>
    </w:tbl>
    <w:p>
      <w:pPr>
        <w:spacing w:after="320" w:before="0"/>
      </w:pPr>
    </w:p>
    <w:p>
      <w:pPr>
        <w:pBdr>
          <w:bottom w:val="single" w:color="8B4500" w:sz="3"/>
        </w:pBdr>
        <w:spacing w:after="120" w:before="120"/>
      </w:pPr>
    </w:p>
    <w:p>
      <w:pPr>
        <w:spacing w:after="240" w:before="0"/>
      </w:pPr>
    </w:p>
    <w:p>
      <w:pPr>
        <w:spacing w:after="60" w:before="0"/>
        <w:jc w:val="center"/>
      </w:pPr>
      <w:r>
        <w:rPr>
          <w:rFonts w:ascii="Arial" w:cs="Arial" w:eastAsia="Arial" w:hAnsi="Arial"/>
          <w:b/>
          <w:bCs/>
          <w:color w:val="1F3864"/>
          <w:sz w:val="20"/>
          <w:szCs w:val="20"/>
        </w:rPr>
        <w:t xml:space="preserve">Vishnu Shanker and Nivedita Shanker</w:t>
      </w:r>
    </w:p>
    <w:p>
      <w:pPr>
        <w:spacing w:after="0" w:before="0"/>
        <w:jc w:val="center"/>
      </w:pPr>
      <w:r>
        <w:rPr>
          <w:rFonts w:ascii="Arial" w:cs="Arial" w:eastAsia="Arial" w:hAnsi="Arial"/>
          <w:color w:val="888888"/>
          <w:sz w:val="17"/>
          <w:szCs w:val="17"/>
        </w:rPr>
        <w:t xml:space="preserve">SimpleJoy | SaralAnand Foundation  ·  simplejoyfamily.com</w:t>
      </w:r>
    </w:p>
    <w:p>
      <w:r>
        <w:br w:type="page"/>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10080"/>
            <w:tcBorders>
              <w:top w:val="none"/>
              <w:left w:val="none"/>
              <w:bottom w:val="none"/>
              <w:right w:val="none"/>
            </w:tcBorders>
            <w:shd w:fill="1F3864" w:val="clear"/>
            <w:tcMar>
              <w:top w:type="dxa" w:w="160"/>
              <w:left w:type="dxa" w:w="240"/>
              <w:bottom w:type="dxa" w:w="160"/>
              <w:right w:type="dxa" w:w="240"/>
            </w:tcMar>
          </w:tcPr>
          <w:p>
            <w:pPr>
              <w:jc w:val="center"/>
            </w:pPr>
            <w:r>
              <w:rPr>
                <w:rFonts w:ascii="Arial" w:cs="Arial" w:eastAsia="Arial" w:hAnsi="Arial"/>
                <w:b/>
                <w:bCs/>
                <w:color w:val="FFFFFF"/>
                <w:sz w:val="20"/>
                <w:szCs w:val="20"/>
              </w:rPr>
              <w:t xml:space="preserve">CBSE ALIGNMENT — OVERVIEW</w:t>
            </w:r>
          </w:p>
        </w:tc>
      </w:tr>
    </w:tbl>
    <w:p>
      <w:pPr>
        <w:spacing w:after="280" w:before="0"/>
      </w:pPr>
    </w:p>
    <w:p>
      <w:pPr>
        <w:spacing w:after="80" w:before="220"/>
      </w:pPr>
      <w:r>
        <w:rPr>
          <w:rFonts w:ascii="Arial" w:cs="Arial" w:eastAsia="Arial" w:hAnsi="Arial"/>
          <w:b/>
          <w:bCs/>
          <w:color w:val="1F3864"/>
          <w:sz w:val="21"/>
          <w:szCs w:val="21"/>
        </w:rPr>
        <w:t xml:space="preserve">About SimpleJoy | SaralAnand</w:t>
      </w:r>
    </w:p>
    <w:p>
      <w:pPr>
        <w:spacing w:after="150" w:before="0" w:line="280" w:lineRule="auto"/>
        <w:jc w:val="both"/>
      </w:pPr>
      <w:r>
        <w:rPr>
          <w:rFonts w:ascii="Arial" w:cs="Arial" w:eastAsia="Arial" w:hAnsi="Arial"/>
          <w:b w:val="false"/>
          <w:bCs w:val="false"/>
          <w:i w:val="false"/>
          <w:iCs w:val="false"/>
          <w:color w:val="444444"/>
          <w:sz w:val="19"/>
          <w:szCs w:val="19"/>
        </w:rPr>
        <w:t xml:space="preserve">SimpleJoy | SaralAnand is a free 52-week family entrepreneurship programme designed to develop entrepreneurial mindset, skills, and character in children aged 8–18. The programme delivers one 3-minute parent video (#UdyamMaa_EntrepreneurialParent) and one 60-second animated children's episode (#UdyamMe_EntrepreneurialChild) every week, with a structured home challenge. All content is free at simplejoyfamily.com and YouTube. Vishnu Shanker and Nivedita Shanker created this programme across thirty-eight years of building together — Nivedita held the financial, administrative, and family foundation throughout, and is the reason the work exists.</w:t>
      </w:r>
    </w:p>
    <w:p>
      <w:pPr>
        <w:spacing w:after="160" w:before="0"/>
      </w:pPr>
    </w:p>
    <w:p>
      <w:pPr>
        <w:spacing w:after="80" w:before="220"/>
      </w:pPr>
      <w:r>
        <w:rPr>
          <w:rFonts w:ascii="Arial" w:cs="Arial" w:eastAsia="Arial" w:hAnsi="Arial"/>
          <w:b/>
          <w:bCs/>
          <w:color w:val="1F3864"/>
          <w:sz w:val="21"/>
          <w:szCs w:val="21"/>
        </w:rPr>
        <w:t xml:space="preserve">About This CBSE Alignment Document</w:t>
      </w:r>
    </w:p>
    <w:p>
      <w:pPr>
        <w:spacing w:after="150" w:before="0" w:line="280" w:lineRule="auto"/>
        <w:jc w:val="both"/>
      </w:pPr>
      <w:r>
        <w:rPr>
          <w:rFonts w:ascii="Arial" w:cs="Arial" w:eastAsia="Arial" w:hAnsi="Arial"/>
          <w:b w:val="false"/>
          <w:bCs w:val="false"/>
          <w:i w:val="false"/>
          <w:iCs w:val="false"/>
          <w:color w:val="444444"/>
          <w:sz w:val="19"/>
          <w:szCs w:val="19"/>
        </w:rPr>
        <w:t xml:space="preserve">This document maps the SimpleJoy | SaralAnand 52-week programme to the CBSE curriculum framework, NCERT learning outcomes, and the National Education Policy (NEP) 2020 competencies. The programme is deeply relevant to India's educational context — it was born in India on August 15, 1982, and its core principles reflect the values of Indian family culture while connecting to global entrepreneurial practice. It is particularly well-aligned to NEP 2020's emphasis on critical thinking, financial literacy, vocational education, and holistic child development.</w:t>
      </w:r>
    </w:p>
    <w:p>
      <w:pPr>
        <w:spacing w:after="160" w:before="0"/>
      </w:pP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10080"/>
            <w:tcBorders>
              <w:top w:val="single" w:color="8B4500" w:sz="4"/>
              <w:left w:val="single" w:color="8B4500" w:sz="14"/>
              <w:bottom w:val="single" w:color="8B4500" w:sz="4"/>
              <w:right w:val="none"/>
            </w:tcBorders>
            <w:shd w:fill="FFF5EA" w:val="clear"/>
            <w:tcMar>
              <w:top w:type="dxa" w:w="120"/>
              <w:left w:type="dxa" w:w="200"/>
              <w:bottom w:type="dxa" w:w="120"/>
              <w:right w:type="dxa" w:w="180"/>
            </w:tcMar>
          </w:tcPr>
          <w:p>
            <w:pPr>
              <w:spacing w:after="65" w:before="0" w:line="265" w:lineRule="auto"/>
            </w:pPr>
            <w:r>
              <w:rPr>
                <w:rFonts w:ascii="Arial" w:cs="Arial" w:eastAsia="Arial" w:hAnsi="Arial"/>
                <w:color w:val="444444"/>
                <w:sz w:val="18"/>
                <w:szCs w:val="18"/>
              </w:rPr>
              <w:t xml:space="preserve">KEY FINDING: All 10 programme pillars map to one or more CBSE standards or competencies.</w:t>
            </w:r>
          </w:p>
          <w:p>
            <w:pPr>
              <w:spacing w:after="65" w:before="0" w:line="265" w:lineRule="auto"/>
            </w:pPr>
            <w:r>
              <w:rPr>
                <w:rFonts w:ascii="Arial" w:cs="Arial" w:eastAsia="Arial" w:hAnsi="Arial"/>
                <w:color w:val="444444"/>
                <w:sz w:val="18"/>
                <w:szCs w:val="18"/>
              </w:rPr>
              <w:t xml:space="preserve">KEY FINDING: The programme operates as a family engagement layer — it reinforces, not replaces, CBSE curriculum.</w:t>
            </w:r>
          </w:p>
          <w:p>
            <w:pPr>
              <w:spacing w:after="65" w:before="0" w:line="265" w:lineRule="auto"/>
            </w:pPr>
            <w:r>
              <w:rPr>
                <w:rFonts w:ascii="Arial" w:cs="Arial" w:eastAsia="Arial" w:hAnsi="Arial"/>
                <w:color w:val="444444"/>
                <w:sz w:val="18"/>
                <w:szCs w:val="18"/>
              </w:rPr>
              <w:t xml:space="preserve">KEY FINDING: The Idea Notebook provides structured portfolio evidence aligned to this system's assessment criteria.</w:t>
            </w:r>
          </w:p>
          <w:p>
            <w:pPr>
              <w:spacing w:after="65" w:before="0" w:line="265" w:lineRule="auto"/>
            </w:pPr>
            <w:r>
              <w:rPr>
                <w:rFonts w:ascii="Arial" w:cs="Arial" w:eastAsia="Arial" w:hAnsi="Arial"/>
                <w:color w:val="444444"/>
                <w:sz w:val="18"/>
                <w:szCs w:val="18"/>
              </w:rPr>
              <w:t xml:space="preserve">KEY FINDING: All curriculum references in this document cite the current CBSE framework as of 2024–2025.</w:t>
            </w:r>
          </w:p>
        </w:tc>
      </w:tr>
    </w:tbl>
    <w:p>
      <w:pPr>
        <w:spacing w:after="280" w:before="0"/>
      </w:pPr>
    </w:p>
    <w:p>
      <w:pPr>
        <w:spacing w:after="80" w:before="220"/>
      </w:pPr>
      <w:r>
        <w:rPr>
          <w:rFonts w:ascii="Arial" w:cs="Arial" w:eastAsia="Arial" w:hAnsi="Arial"/>
          <w:b/>
          <w:bCs/>
          <w:color w:val="1F3864"/>
          <w:sz w:val="21"/>
          <w:szCs w:val="21"/>
        </w:rPr>
        <w:t xml:space="preserve">Programme Structure — Quick Reference</w:t>
      </w:r>
    </w:p>
    <w:p>
      <w:pPr>
        <w:spacing w:after="160" w:before="0"/>
      </w:pPr>
    </w:p>
    <w:tbl>
      <w:tblPr>
        <w:tblW w:type="dxa" w:w="9800"/>
        <w:tblBorders>
          <w:top w:val="single" w:color="auto" w:sz="4"/>
          <w:left w:val="single" w:color="auto" w:sz="4"/>
          <w:bottom w:val="single" w:color="auto" w:sz="4"/>
          <w:right w:val="single" w:color="auto" w:sz="4"/>
          <w:insideH w:val="single" w:color="auto" w:sz="4"/>
          <w:insideV w:val="single" w:color="auto" w:sz="4"/>
        </w:tblBorders>
      </w:tblPr>
      <w:tblGrid>
        <w:gridCol w:w="500"/>
        <w:gridCol w:w="2600"/>
        <w:gridCol w:w="1400"/>
        <w:gridCol w:w="5300"/>
      </w:tblGrid>
      <w:tr>
        <w:tc>
          <w:tcPr>
            <w:tcW w:type="dxa" w:w="500"/>
            <w:tcBorders>
              <w:top w:val="single" w:color="CCCCCC" w:sz="2"/>
              <w:left w:val="single" w:color="CCCCCC" w:sz="2"/>
              <w:bottom w:val="single" w:color="CCCCCC" w:sz="2"/>
              <w:right w:val="single" w:color="CCCCCC" w:sz="2"/>
            </w:tcBorders>
            <w:shd w:fill="8B4500" w:val="clear"/>
            <w:tcMar>
              <w:top w:type="dxa" w:w="90"/>
              <w:left w:type="dxa" w:w="100"/>
              <w:bottom w:type="dxa" w:w="90"/>
              <w:right w:type="dxa" w:w="100"/>
            </w:tcMar>
          </w:tcPr>
          <w:p>
            <w:r>
              <w:rPr>
                <w:rFonts w:ascii="Arial" w:cs="Arial" w:eastAsia="Arial" w:hAnsi="Arial"/>
                <w:b/>
                <w:bCs/>
                <w:color w:val="FFFFFF"/>
                <w:sz w:val="16"/>
                <w:szCs w:val="16"/>
              </w:rPr>
              <w:t xml:space="preserve">No.</w:t>
            </w:r>
          </w:p>
        </w:tc>
        <w:tc>
          <w:tcPr>
            <w:tcW w:type="dxa" w:w="2600"/>
            <w:tcBorders>
              <w:top w:val="single" w:color="CCCCCC" w:sz="2"/>
              <w:left w:val="single" w:color="CCCCCC" w:sz="2"/>
              <w:bottom w:val="single" w:color="CCCCCC" w:sz="2"/>
              <w:right w:val="single" w:color="CCCCCC" w:sz="2"/>
            </w:tcBorders>
            <w:shd w:fill="8B4500" w:val="clear"/>
            <w:tcMar>
              <w:top w:type="dxa" w:w="90"/>
              <w:left w:type="dxa" w:w="100"/>
              <w:bottom w:type="dxa" w:w="90"/>
              <w:right w:type="dxa" w:w="100"/>
            </w:tcMar>
          </w:tcPr>
          <w:p>
            <w:r>
              <w:rPr>
                <w:rFonts w:ascii="Arial" w:cs="Arial" w:eastAsia="Arial" w:hAnsi="Arial"/>
                <w:b/>
                <w:bCs/>
                <w:color w:val="FFFFFF"/>
                <w:sz w:val="16"/>
                <w:szCs w:val="16"/>
              </w:rPr>
              <w:t xml:space="preserve">Pillar</w:t>
            </w:r>
          </w:p>
        </w:tc>
        <w:tc>
          <w:tcPr>
            <w:tcW w:type="dxa" w:w="1400"/>
            <w:tcBorders>
              <w:top w:val="single" w:color="CCCCCC" w:sz="2"/>
              <w:left w:val="single" w:color="CCCCCC" w:sz="2"/>
              <w:bottom w:val="single" w:color="CCCCCC" w:sz="2"/>
              <w:right w:val="single" w:color="CCCCCC" w:sz="2"/>
            </w:tcBorders>
            <w:shd w:fill="8B4500" w:val="clear"/>
            <w:tcMar>
              <w:top w:type="dxa" w:w="90"/>
              <w:left w:type="dxa" w:w="100"/>
              <w:bottom w:type="dxa" w:w="90"/>
              <w:right w:type="dxa" w:w="100"/>
            </w:tcMar>
          </w:tcPr>
          <w:p>
            <w:r>
              <w:rPr>
                <w:rFonts w:ascii="Arial" w:cs="Arial" w:eastAsia="Arial" w:hAnsi="Arial"/>
                <w:b/>
                <w:bCs/>
                <w:color w:val="FFFFFF"/>
                <w:sz w:val="16"/>
                <w:szCs w:val="16"/>
              </w:rPr>
              <w:t xml:space="preserve">Weeks</w:t>
            </w:r>
          </w:p>
        </w:tc>
        <w:tc>
          <w:tcPr>
            <w:tcW w:type="dxa" w:w="5300"/>
            <w:tcBorders>
              <w:top w:val="single" w:color="CCCCCC" w:sz="2"/>
              <w:left w:val="single" w:color="CCCCCC" w:sz="2"/>
              <w:bottom w:val="single" w:color="CCCCCC" w:sz="2"/>
              <w:right w:val="single" w:color="CCCCCC" w:sz="2"/>
            </w:tcBorders>
            <w:shd w:fill="8B4500" w:val="clear"/>
            <w:tcMar>
              <w:top w:type="dxa" w:w="90"/>
              <w:left w:type="dxa" w:w="100"/>
              <w:bottom w:type="dxa" w:w="90"/>
              <w:right w:type="dxa" w:w="100"/>
            </w:tcMar>
          </w:tcPr>
          <w:p>
            <w:r>
              <w:rPr>
                <w:rFonts w:ascii="Arial" w:cs="Arial" w:eastAsia="Arial" w:hAnsi="Arial"/>
                <w:b/>
                <w:bCs/>
                <w:color w:val="FFFFFF"/>
                <w:sz w:val="16"/>
                <w:szCs w:val="16"/>
              </w:rPr>
              <w:t xml:space="preserve">Theme / Focus</w:t>
            </w:r>
          </w:p>
        </w:tc>
      </w:tr>
      <w:tr>
        <w:tc>
          <w:tcPr>
            <w:tcW w:type="dxa" w:w="5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8B4500"/>
                <w:sz w:val="16"/>
                <w:szCs w:val="16"/>
              </w:rPr>
              <w:t xml:space="preserve">0</w:t>
            </w:r>
          </w:p>
        </w:tc>
        <w:tc>
          <w:tcPr>
            <w:tcW w:type="dxa" w:w="26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F3864"/>
                <w:sz w:val="16"/>
                <w:szCs w:val="16"/>
              </w:rPr>
              <w:t xml:space="preserve">Box Breathing</w:t>
            </w:r>
          </w:p>
        </w:tc>
        <w:tc>
          <w:tcPr>
            <w:tcW w:type="dxa" w:w="14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888888"/>
                <w:sz w:val="15"/>
                <w:szCs w:val="15"/>
              </w:rPr>
              <w:t xml:space="preserve">All 52</w:t>
            </w:r>
          </w:p>
        </w:tc>
        <w:tc>
          <w:tcPr>
            <w:tcW w:type="dxa" w:w="53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6"/>
                <w:szCs w:val="16"/>
              </w:rPr>
              <w:t xml:space="preserve">Emotional regulation</w:t>
            </w:r>
          </w:p>
        </w:tc>
      </w:tr>
      <w:tr>
        <w:tc>
          <w:tcPr>
            <w:tcW w:type="dxa" w:w="500"/>
            <w:tcBorders>
              <w:top w:val="single" w:color="CCCCCC" w:sz="2"/>
              <w:left w:val="single" w:color="CCCCCC" w:sz="2"/>
              <w:bottom w:val="single" w:color="CCCCCC" w:sz="2"/>
              <w:right w:val="single" w:color="CCCCCC" w:sz="2"/>
            </w:tcBorders>
            <w:shd w:fill="FFF5EA"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8B4500"/>
                <w:sz w:val="16"/>
                <w:szCs w:val="16"/>
              </w:rPr>
              <w:t xml:space="preserve">1</w:t>
            </w:r>
          </w:p>
        </w:tc>
        <w:tc>
          <w:tcPr>
            <w:tcW w:type="dxa" w:w="2600"/>
            <w:tcBorders>
              <w:top w:val="single" w:color="CCCCCC" w:sz="2"/>
              <w:left w:val="single" w:color="CCCCCC" w:sz="2"/>
              <w:bottom w:val="single" w:color="CCCCCC" w:sz="2"/>
              <w:right w:val="single" w:color="CCCCCC" w:sz="2"/>
            </w:tcBorders>
            <w:shd w:fill="FFF5EA"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F3864"/>
                <w:sz w:val="16"/>
                <w:szCs w:val="16"/>
              </w:rPr>
              <w:t xml:space="preserve">Start at Home — The Coaching Switch</w:t>
            </w:r>
          </w:p>
        </w:tc>
        <w:tc>
          <w:tcPr>
            <w:tcW w:type="dxa" w:w="1400"/>
            <w:tcBorders>
              <w:top w:val="single" w:color="CCCCCC" w:sz="2"/>
              <w:left w:val="single" w:color="CCCCCC" w:sz="2"/>
              <w:bottom w:val="single" w:color="CCCCCC" w:sz="2"/>
              <w:right w:val="single" w:color="CCCCCC" w:sz="2"/>
            </w:tcBorders>
            <w:shd w:fill="FFF5EA"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888888"/>
                <w:sz w:val="15"/>
                <w:szCs w:val="15"/>
              </w:rPr>
              <w:t xml:space="preserve">1–6</w:t>
            </w:r>
          </w:p>
        </w:tc>
        <w:tc>
          <w:tcPr>
            <w:tcW w:type="dxa" w:w="5300"/>
            <w:tcBorders>
              <w:top w:val="single" w:color="CCCCCC" w:sz="2"/>
              <w:left w:val="single" w:color="CCCCCC" w:sz="2"/>
              <w:bottom w:val="single" w:color="CCCCCC" w:sz="2"/>
              <w:right w:val="single" w:color="CCCCCC" w:sz="2"/>
            </w:tcBorders>
            <w:shd w:fill="FFF5EA"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6"/>
                <w:szCs w:val="16"/>
              </w:rPr>
              <w:t xml:space="preserve">Self-directed learning</w:t>
            </w:r>
          </w:p>
        </w:tc>
      </w:tr>
      <w:tr>
        <w:tc>
          <w:tcPr>
            <w:tcW w:type="dxa" w:w="5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8B4500"/>
                <w:sz w:val="16"/>
                <w:szCs w:val="16"/>
              </w:rPr>
              <w:t xml:space="preserve">2</w:t>
            </w:r>
          </w:p>
        </w:tc>
        <w:tc>
          <w:tcPr>
            <w:tcW w:type="dxa" w:w="26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F3864"/>
                <w:sz w:val="16"/>
                <w:szCs w:val="16"/>
              </w:rPr>
              <w:t xml:space="preserve">Start Early, But Naturally</w:t>
            </w:r>
          </w:p>
        </w:tc>
        <w:tc>
          <w:tcPr>
            <w:tcW w:type="dxa" w:w="14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888888"/>
                <w:sz w:val="15"/>
                <w:szCs w:val="15"/>
              </w:rPr>
              <w:t xml:space="preserve">4–6</w:t>
            </w:r>
          </w:p>
        </w:tc>
        <w:tc>
          <w:tcPr>
            <w:tcW w:type="dxa" w:w="53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6"/>
                <w:szCs w:val="16"/>
              </w:rPr>
              <w:t xml:space="preserve">Developmental awareness</w:t>
            </w:r>
          </w:p>
        </w:tc>
      </w:tr>
      <w:tr>
        <w:tc>
          <w:tcPr>
            <w:tcW w:type="dxa" w:w="500"/>
            <w:tcBorders>
              <w:top w:val="single" w:color="CCCCCC" w:sz="2"/>
              <w:left w:val="single" w:color="CCCCCC" w:sz="2"/>
              <w:bottom w:val="single" w:color="CCCCCC" w:sz="2"/>
              <w:right w:val="single" w:color="CCCCCC" w:sz="2"/>
            </w:tcBorders>
            <w:shd w:fill="FFF5EA"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8B4500"/>
                <w:sz w:val="16"/>
                <w:szCs w:val="16"/>
              </w:rPr>
              <w:t xml:space="preserve">3</w:t>
            </w:r>
          </w:p>
        </w:tc>
        <w:tc>
          <w:tcPr>
            <w:tcW w:type="dxa" w:w="2600"/>
            <w:tcBorders>
              <w:top w:val="single" w:color="CCCCCC" w:sz="2"/>
              <w:left w:val="single" w:color="CCCCCC" w:sz="2"/>
              <w:bottom w:val="single" w:color="CCCCCC" w:sz="2"/>
              <w:right w:val="single" w:color="CCCCCC" w:sz="2"/>
            </w:tcBorders>
            <w:shd w:fill="FFF5EA"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F3864"/>
                <w:sz w:val="16"/>
                <w:szCs w:val="16"/>
              </w:rPr>
              <w:t xml:space="preserve">Build the Right Mindset First</w:t>
            </w:r>
          </w:p>
        </w:tc>
        <w:tc>
          <w:tcPr>
            <w:tcW w:type="dxa" w:w="1400"/>
            <w:tcBorders>
              <w:top w:val="single" w:color="CCCCCC" w:sz="2"/>
              <w:left w:val="single" w:color="CCCCCC" w:sz="2"/>
              <w:bottom w:val="single" w:color="CCCCCC" w:sz="2"/>
              <w:right w:val="single" w:color="CCCCCC" w:sz="2"/>
            </w:tcBorders>
            <w:shd w:fill="FFF5EA"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888888"/>
                <w:sz w:val="15"/>
                <w:szCs w:val="15"/>
              </w:rPr>
              <w:t xml:space="preserve">7–10</w:t>
            </w:r>
          </w:p>
        </w:tc>
        <w:tc>
          <w:tcPr>
            <w:tcW w:type="dxa" w:w="5300"/>
            <w:tcBorders>
              <w:top w:val="single" w:color="CCCCCC" w:sz="2"/>
              <w:left w:val="single" w:color="CCCCCC" w:sz="2"/>
              <w:bottom w:val="single" w:color="CCCCCC" w:sz="2"/>
              <w:right w:val="single" w:color="CCCCCC" w:sz="2"/>
            </w:tcBorders>
            <w:shd w:fill="FFF5EA"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6"/>
                <w:szCs w:val="16"/>
              </w:rPr>
              <w:t xml:space="preserve">Curiosity · Resilience · Calm</w:t>
            </w:r>
          </w:p>
        </w:tc>
      </w:tr>
      <w:tr>
        <w:tc>
          <w:tcPr>
            <w:tcW w:type="dxa" w:w="5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8B4500"/>
                <w:sz w:val="16"/>
                <w:szCs w:val="16"/>
              </w:rPr>
              <w:t xml:space="preserve">4</w:t>
            </w:r>
          </w:p>
        </w:tc>
        <w:tc>
          <w:tcPr>
            <w:tcW w:type="dxa" w:w="26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F3864"/>
                <w:sz w:val="16"/>
                <w:szCs w:val="16"/>
              </w:rPr>
              <w:t xml:space="preserve">Action Over Theory</w:t>
            </w:r>
          </w:p>
        </w:tc>
        <w:tc>
          <w:tcPr>
            <w:tcW w:type="dxa" w:w="14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888888"/>
                <w:sz w:val="15"/>
                <w:szCs w:val="15"/>
              </w:rPr>
              <w:t xml:space="preserve">11–13</w:t>
            </w:r>
          </w:p>
        </w:tc>
        <w:tc>
          <w:tcPr>
            <w:tcW w:type="dxa" w:w="53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6"/>
                <w:szCs w:val="16"/>
              </w:rPr>
              <w:t xml:space="preserve">Experiment mindset</w:t>
            </w:r>
          </w:p>
        </w:tc>
      </w:tr>
      <w:tr>
        <w:tc>
          <w:tcPr>
            <w:tcW w:type="dxa" w:w="500"/>
            <w:tcBorders>
              <w:top w:val="single" w:color="CCCCCC" w:sz="2"/>
              <w:left w:val="single" w:color="CCCCCC" w:sz="2"/>
              <w:bottom w:val="single" w:color="CCCCCC" w:sz="2"/>
              <w:right w:val="single" w:color="CCCCCC" w:sz="2"/>
            </w:tcBorders>
            <w:shd w:fill="FFF5EA"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8B4500"/>
                <w:sz w:val="16"/>
                <w:szCs w:val="16"/>
              </w:rPr>
              <w:t xml:space="preserve">5</w:t>
            </w:r>
          </w:p>
        </w:tc>
        <w:tc>
          <w:tcPr>
            <w:tcW w:type="dxa" w:w="2600"/>
            <w:tcBorders>
              <w:top w:val="single" w:color="CCCCCC" w:sz="2"/>
              <w:left w:val="single" w:color="CCCCCC" w:sz="2"/>
              <w:bottom w:val="single" w:color="CCCCCC" w:sz="2"/>
              <w:right w:val="single" w:color="CCCCCC" w:sz="2"/>
            </w:tcBorders>
            <w:shd w:fill="FFF5EA"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F3864"/>
                <w:sz w:val="16"/>
                <w:szCs w:val="16"/>
              </w:rPr>
              <w:t xml:space="preserve">Financial Literacy — The Four Jars</w:t>
            </w:r>
          </w:p>
        </w:tc>
        <w:tc>
          <w:tcPr>
            <w:tcW w:type="dxa" w:w="1400"/>
            <w:tcBorders>
              <w:top w:val="single" w:color="CCCCCC" w:sz="2"/>
              <w:left w:val="single" w:color="CCCCCC" w:sz="2"/>
              <w:bottom w:val="single" w:color="CCCCCC" w:sz="2"/>
              <w:right w:val="single" w:color="CCCCCC" w:sz="2"/>
            </w:tcBorders>
            <w:shd w:fill="FFF5EA"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888888"/>
                <w:sz w:val="15"/>
                <w:szCs w:val="15"/>
              </w:rPr>
              <w:t xml:space="preserve">14–17</w:t>
            </w:r>
          </w:p>
        </w:tc>
        <w:tc>
          <w:tcPr>
            <w:tcW w:type="dxa" w:w="5300"/>
            <w:tcBorders>
              <w:top w:val="single" w:color="CCCCCC" w:sz="2"/>
              <w:left w:val="single" w:color="CCCCCC" w:sz="2"/>
              <w:bottom w:val="single" w:color="CCCCCC" w:sz="2"/>
              <w:right w:val="single" w:color="CCCCCC" w:sz="2"/>
            </w:tcBorders>
            <w:shd w:fill="FFF5EA"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6"/>
                <w:szCs w:val="16"/>
              </w:rPr>
              <w:t xml:space="preserve">Economics · Value · Giving</w:t>
            </w:r>
          </w:p>
        </w:tc>
      </w:tr>
      <w:tr>
        <w:tc>
          <w:tcPr>
            <w:tcW w:type="dxa" w:w="5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8B4500"/>
                <w:sz w:val="16"/>
                <w:szCs w:val="16"/>
              </w:rPr>
              <w:t xml:space="preserve">6</w:t>
            </w:r>
          </w:p>
        </w:tc>
        <w:tc>
          <w:tcPr>
            <w:tcW w:type="dxa" w:w="26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F3864"/>
                <w:sz w:val="16"/>
                <w:szCs w:val="16"/>
              </w:rPr>
              <w:t xml:space="preserve">Analytical Thinking — Three Questions</w:t>
            </w:r>
          </w:p>
        </w:tc>
        <w:tc>
          <w:tcPr>
            <w:tcW w:type="dxa" w:w="14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888888"/>
                <w:sz w:val="15"/>
                <w:szCs w:val="15"/>
              </w:rPr>
              <w:t xml:space="preserve">18–22</w:t>
            </w:r>
          </w:p>
        </w:tc>
        <w:tc>
          <w:tcPr>
            <w:tcW w:type="dxa" w:w="53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6"/>
                <w:szCs w:val="16"/>
              </w:rPr>
              <w:t xml:space="preserve">Critical · Creative thinking</w:t>
            </w:r>
          </w:p>
        </w:tc>
      </w:tr>
      <w:tr>
        <w:tc>
          <w:tcPr>
            <w:tcW w:type="dxa" w:w="500"/>
            <w:tcBorders>
              <w:top w:val="single" w:color="CCCCCC" w:sz="2"/>
              <w:left w:val="single" w:color="CCCCCC" w:sz="2"/>
              <w:bottom w:val="single" w:color="CCCCCC" w:sz="2"/>
              <w:right w:val="single" w:color="CCCCCC" w:sz="2"/>
            </w:tcBorders>
            <w:shd w:fill="FFF5EA"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8B4500"/>
                <w:sz w:val="16"/>
                <w:szCs w:val="16"/>
              </w:rPr>
              <w:t xml:space="preserve">7</w:t>
            </w:r>
          </w:p>
        </w:tc>
        <w:tc>
          <w:tcPr>
            <w:tcW w:type="dxa" w:w="2600"/>
            <w:tcBorders>
              <w:top w:val="single" w:color="CCCCCC" w:sz="2"/>
              <w:left w:val="single" w:color="CCCCCC" w:sz="2"/>
              <w:bottom w:val="single" w:color="CCCCCC" w:sz="2"/>
              <w:right w:val="single" w:color="CCCCCC" w:sz="2"/>
            </w:tcBorders>
            <w:shd w:fill="FFF5EA"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F3864"/>
                <w:sz w:val="16"/>
                <w:szCs w:val="16"/>
              </w:rPr>
              <w:t xml:space="preserve">Organisational Skills</w:t>
            </w:r>
          </w:p>
        </w:tc>
        <w:tc>
          <w:tcPr>
            <w:tcW w:type="dxa" w:w="1400"/>
            <w:tcBorders>
              <w:top w:val="single" w:color="CCCCCC" w:sz="2"/>
              <w:left w:val="single" w:color="CCCCCC" w:sz="2"/>
              <w:bottom w:val="single" w:color="CCCCCC" w:sz="2"/>
              <w:right w:val="single" w:color="CCCCCC" w:sz="2"/>
            </w:tcBorders>
            <w:shd w:fill="FFF5EA"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888888"/>
                <w:sz w:val="15"/>
                <w:szCs w:val="15"/>
              </w:rPr>
              <w:t xml:space="preserve">23–25</w:t>
            </w:r>
          </w:p>
        </w:tc>
        <w:tc>
          <w:tcPr>
            <w:tcW w:type="dxa" w:w="5300"/>
            <w:tcBorders>
              <w:top w:val="single" w:color="CCCCCC" w:sz="2"/>
              <w:left w:val="single" w:color="CCCCCC" w:sz="2"/>
              <w:bottom w:val="single" w:color="CCCCCC" w:sz="2"/>
              <w:right w:val="single" w:color="CCCCCC" w:sz="2"/>
            </w:tcBorders>
            <w:shd w:fill="FFF5EA"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6"/>
                <w:szCs w:val="16"/>
              </w:rPr>
              <w:t xml:space="preserve">Time · Priorities · Deadlines</w:t>
            </w:r>
          </w:p>
        </w:tc>
      </w:tr>
      <w:tr>
        <w:tc>
          <w:tcPr>
            <w:tcW w:type="dxa" w:w="5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8B4500"/>
                <w:sz w:val="16"/>
                <w:szCs w:val="16"/>
              </w:rPr>
              <w:t xml:space="preserve">8</w:t>
            </w:r>
          </w:p>
        </w:tc>
        <w:tc>
          <w:tcPr>
            <w:tcW w:type="dxa" w:w="26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F3864"/>
                <w:sz w:val="16"/>
                <w:szCs w:val="16"/>
              </w:rPr>
              <w:t xml:space="preserve">Communication, Selling and Execution</w:t>
            </w:r>
          </w:p>
        </w:tc>
        <w:tc>
          <w:tcPr>
            <w:tcW w:type="dxa" w:w="14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888888"/>
                <w:sz w:val="15"/>
                <w:szCs w:val="15"/>
              </w:rPr>
              <w:t xml:space="preserve">27–34</w:t>
            </w:r>
          </w:p>
        </w:tc>
        <w:tc>
          <w:tcPr>
            <w:tcW w:type="dxa" w:w="53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6"/>
                <w:szCs w:val="16"/>
              </w:rPr>
              <w:t xml:space="preserve">Pitch · Listen · Story · Follow-through</w:t>
            </w:r>
          </w:p>
        </w:tc>
      </w:tr>
      <w:tr>
        <w:tc>
          <w:tcPr>
            <w:tcW w:type="dxa" w:w="500"/>
            <w:tcBorders>
              <w:top w:val="single" w:color="CCCCCC" w:sz="2"/>
              <w:left w:val="single" w:color="CCCCCC" w:sz="2"/>
              <w:bottom w:val="single" w:color="CCCCCC" w:sz="2"/>
              <w:right w:val="single" w:color="CCCCCC" w:sz="2"/>
            </w:tcBorders>
            <w:shd w:fill="FFF5EA"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8B4500"/>
                <w:sz w:val="16"/>
                <w:szCs w:val="16"/>
              </w:rPr>
              <w:t xml:space="preserve">9</w:t>
            </w:r>
          </w:p>
        </w:tc>
        <w:tc>
          <w:tcPr>
            <w:tcW w:type="dxa" w:w="2600"/>
            <w:tcBorders>
              <w:top w:val="single" w:color="CCCCCC" w:sz="2"/>
              <w:left w:val="single" w:color="CCCCCC" w:sz="2"/>
              <w:bottom w:val="single" w:color="CCCCCC" w:sz="2"/>
              <w:right w:val="single" w:color="CCCCCC" w:sz="2"/>
            </w:tcBorders>
            <w:shd w:fill="FFF5EA"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F3864"/>
                <w:sz w:val="16"/>
                <w:szCs w:val="16"/>
              </w:rPr>
              <w:t xml:space="preserve">Creativity, Innovation and Networks</w:t>
            </w:r>
          </w:p>
        </w:tc>
        <w:tc>
          <w:tcPr>
            <w:tcW w:type="dxa" w:w="1400"/>
            <w:tcBorders>
              <w:top w:val="single" w:color="CCCCCC" w:sz="2"/>
              <w:left w:val="single" w:color="CCCCCC" w:sz="2"/>
              <w:bottom w:val="single" w:color="CCCCCC" w:sz="2"/>
              <w:right w:val="single" w:color="CCCCCC" w:sz="2"/>
            </w:tcBorders>
            <w:shd w:fill="FFF5EA"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888888"/>
                <w:sz w:val="15"/>
                <w:szCs w:val="15"/>
              </w:rPr>
              <w:t xml:space="preserve">35–38</w:t>
            </w:r>
          </w:p>
        </w:tc>
        <w:tc>
          <w:tcPr>
            <w:tcW w:type="dxa" w:w="5300"/>
            <w:tcBorders>
              <w:top w:val="single" w:color="CCCCCC" w:sz="2"/>
              <w:left w:val="single" w:color="CCCCCC" w:sz="2"/>
              <w:bottom w:val="single" w:color="CCCCCC" w:sz="2"/>
              <w:right w:val="single" w:color="CCCCCC" w:sz="2"/>
            </w:tcBorders>
            <w:shd w:fill="FFF5EA"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6"/>
                <w:szCs w:val="16"/>
              </w:rPr>
              <w:t xml:space="preserve">Ideas · Collaboration · Networks</w:t>
            </w:r>
          </w:p>
        </w:tc>
      </w:tr>
      <w:tr>
        <w:tc>
          <w:tcPr>
            <w:tcW w:type="dxa" w:w="5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8B4500"/>
                <w:sz w:val="16"/>
                <w:szCs w:val="16"/>
              </w:rPr>
              <w:t xml:space="preserve">10</w:t>
            </w:r>
          </w:p>
        </w:tc>
        <w:tc>
          <w:tcPr>
            <w:tcW w:type="dxa" w:w="26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F3864"/>
                <w:sz w:val="16"/>
                <w:szCs w:val="16"/>
              </w:rPr>
              <w:t xml:space="preserve">Leadership Through Collaboration</w:t>
            </w:r>
          </w:p>
        </w:tc>
        <w:tc>
          <w:tcPr>
            <w:tcW w:type="dxa" w:w="14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888888"/>
                <w:sz w:val="15"/>
                <w:szCs w:val="15"/>
              </w:rPr>
              <w:t xml:space="preserve">40–52</w:t>
            </w:r>
          </w:p>
        </w:tc>
        <w:tc>
          <w:tcPr>
            <w:tcW w:type="dxa" w:w="53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6"/>
                <w:szCs w:val="16"/>
              </w:rPr>
              <w:t xml:space="preserve">Mentor · Delegate · Integrity</w:t>
            </w:r>
          </w:p>
        </w:tc>
      </w:tr>
    </w:tbl>
    <w:p>
      <w:pPr>
        <w:spacing w:after="360" w:before="0"/>
      </w:pPr>
    </w:p>
    <w:p>
      <w:r>
        <w:br w:type="page"/>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10080"/>
            <w:tcBorders>
              <w:top w:val="none"/>
              <w:left w:val="none"/>
              <w:bottom w:val="none"/>
              <w:right w:val="none"/>
            </w:tcBorders>
            <w:shd w:fill="8B4500" w:val="clear"/>
            <w:tcMar>
              <w:top w:type="dxa" w:w="160"/>
              <w:left w:type="dxa" w:w="240"/>
              <w:bottom w:type="dxa" w:w="80"/>
              <w:right w:type="dxa" w:w="240"/>
            </w:tcMar>
          </w:tcPr>
          <w:p>
            <w:pPr>
              <w:jc w:val="center"/>
            </w:pPr>
            <w:r>
              <w:rPr>
                <w:rFonts w:ascii="Arial" w:cs="Arial" w:eastAsia="Arial" w:hAnsi="Arial"/>
                <w:b/>
                <w:bCs/>
                <w:color w:val="FFFFFF"/>
                <w:sz w:val="20"/>
                <w:szCs w:val="20"/>
              </w:rPr>
              <w:t xml:space="preserve">SECTION 1: PILLAR-BY-PILLAR CBSE ALIGNMENT</w:t>
            </w:r>
          </w:p>
        </w:tc>
      </w:tr>
      <w:tr>
        <w:tc>
          <w:tcPr>
            <w:tcW w:type="dxa" w:w="10080"/>
            <w:tcBorders>
              <w:top w:val="none"/>
              <w:left w:val="none"/>
              <w:bottom w:val="none"/>
              <w:right w:val="none"/>
            </w:tcBorders>
            <w:shd w:fill="8B4500" w:val="clear"/>
            <w:tcMar>
              <w:top w:type="dxa" w:w="0"/>
              <w:left w:type="dxa" w:w="240"/>
              <w:bottom w:type="dxa" w:w="130"/>
              <w:right w:type="dxa" w:w="240"/>
            </w:tcMar>
          </w:tcPr>
          <w:p>
            <w:pPr>
              <w:jc w:val="center"/>
            </w:pPr>
            <w:r>
              <w:rPr>
                <w:rFonts w:ascii="Arial" w:cs="Arial" w:eastAsia="Arial" w:hAnsi="Arial"/>
                <w:color w:val="AABBCC"/>
                <w:sz w:val="17"/>
                <w:szCs w:val="17"/>
              </w:rPr>
              <w:t xml:space="preserve">How each of the 10 pillars maps to CBSE / NCERT Curriculum standards</w:t>
            </w:r>
          </w:p>
        </w:tc>
      </w:tr>
    </w:tbl>
    <w:p>
      <w:pPr>
        <w:spacing w:after="280" w:before="0"/>
      </w:pPr>
    </w:p>
    <w:p>
      <w:pPr>
        <w:spacing w:after="150" w:before="0" w:line="280" w:lineRule="auto"/>
        <w:jc w:val="both"/>
      </w:pPr>
      <w:r>
        <w:rPr>
          <w:rFonts w:ascii="Arial" w:cs="Arial" w:eastAsia="Arial" w:hAnsi="Arial"/>
          <w:b w:val="false"/>
          <w:bCs w:val="false"/>
          <w:i w:val="false"/>
          <w:iCs w:val="false"/>
          <w:color w:val="444444"/>
          <w:sz w:val="19"/>
          <w:szCs w:val="19"/>
        </w:rPr>
        <w:t xml:space="preserve">The table below shows the specific CBSE standards, strands, or competencies addressed by each programme pillar. Where applicable, grade band descriptors are noted for the primary target age range (8–12 years).</w:t>
      </w:r>
    </w:p>
    <w:p>
      <w:pPr>
        <w:spacing w:after="200" w:before="0"/>
      </w:pPr>
    </w:p>
    <w:tbl>
      <w:tblPr>
        <w:tblW w:type="dxa" w:w="10300"/>
        <w:tblBorders>
          <w:top w:val="single" w:color="auto" w:sz="4"/>
          <w:left w:val="single" w:color="auto" w:sz="4"/>
          <w:bottom w:val="single" w:color="auto" w:sz="4"/>
          <w:right w:val="single" w:color="auto" w:sz="4"/>
          <w:insideH w:val="single" w:color="auto" w:sz="4"/>
          <w:insideV w:val="single" w:color="auto" w:sz="4"/>
        </w:tblBorders>
      </w:tblPr>
      <w:tblGrid>
        <w:gridCol w:w="500"/>
        <w:gridCol w:w="2200"/>
        <w:gridCol w:w="2000"/>
        <w:gridCol w:w="2000"/>
        <w:gridCol w:w="3600"/>
      </w:tblGrid>
      <w:tr>
        <w:tc>
          <w:tcPr>
            <w:tcW w:type="dxa" w:w="500"/>
            <w:tcBorders>
              <w:top w:val="single" w:color="CCCCCC" w:sz="2"/>
              <w:left w:val="single" w:color="CCCCCC" w:sz="2"/>
              <w:bottom w:val="single" w:color="CCCCCC" w:sz="2"/>
              <w:right w:val="single" w:color="CCCCCC" w:sz="2"/>
            </w:tcBorders>
            <w:shd w:fill="8B4500" w:val="clear"/>
            <w:tcMar>
              <w:top w:type="dxa" w:w="90"/>
              <w:left w:type="dxa" w:w="100"/>
              <w:bottom w:type="dxa" w:w="90"/>
              <w:right w:type="dxa" w:w="100"/>
            </w:tcMar>
          </w:tcPr>
          <w:p>
            <w:r>
              <w:rPr>
                <w:rFonts w:ascii="Arial" w:cs="Arial" w:eastAsia="Arial" w:hAnsi="Arial"/>
                <w:b/>
                <w:bCs/>
                <w:color w:val="FFFFFF"/>
                <w:sz w:val="16"/>
                <w:szCs w:val="16"/>
              </w:rPr>
              <w:t xml:space="preserve">Pillar</w:t>
            </w:r>
          </w:p>
        </w:tc>
        <w:tc>
          <w:tcPr>
            <w:tcW w:type="dxa" w:w="2200"/>
            <w:tcBorders>
              <w:top w:val="single" w:color="CCCCCC" w:sz="2"/>
              <w:left w:val="single" w:color="CCCCCC" w:sz="2"/>
              <w:bottom w:val="single" w:color="CCCCCC" w:sz="2"/>
              <w:right w:val="single" w:color="CCCCCC" w:sz="2"/>
            </w:tcBorders>
            <w:shd w:fill="8B4500" w:val="clear"/>
            <w:tcMar>
              <w:top w:type="dxa" w:w="90"/>
              <w:left w:type="dxa" w:w="100"/>
              <w:bottom w:type="dxa" w:w="90"/>
              <w:right w:type="dxa" w:w="100"/>
            </w:tcMar>
          </w:tcPr>
          <w:p>
            <w:r>
              <w:rPr>
                <w:rFonts w:ascii="Arial" w:cs="Arial" w:eastAsia="Arial" w:hAnsi="Arial"/>
                <w:b/>
                <w:bCs/>
                <w:color w:val="FFFFFF"/>
                <w:sz w:val="16"/>
                <w:szCs w:val="16"/>
              </w:rPr>
              <w:t xml:space="preserve">Programme Focus</w:t>
            </w:r>
          </w:p>
        </w:tc>
        <w:tc>
          <w:tcPr>
            <w:tcW w:type="dxa" w:w="2000"/>
            <w:tcBorders>
              <w:top w:val="single" w:color="CCCCCC" w:sz="2"/>
              <w:left w:val="single" w:color="CCCCCC" w:sz="2"/>
              <w:bottom w:val="single" w:color="CCCCCC" w:sz="2"/>
              <w:right w:val="single" w:color="CCCCCC" w:sz="2"/>
            </w:tcBorders>
            <w:shd w:fill="8B4500" w:val="clear"/>
            <w:tcMar>
              <w:top w:type="dxa" w:w="90"/>
              <w:left w:type="dxa" w:w="100"/>
              <w:bottom w:type="dxa" w:w="90"/>
              <w:right w:type="dxa" w:w="100"/>
            </w:tcMar>
          </w:tcPr>
          <w:p>
            <w:r>
              <w:rPr>
                <w:rFonts w:ascii="Arial" w:cs="Arial" w:eastAsia="Arial" w:hAnsi="Arial"/>
                <w:b/>
                <w:bCs/>
                <w:color w:val="FFFFFF"/>
                <w:sz w:val="16"/>
                <w:szCs w:val="16"/>
              </w:rPr>
              <w:t xml:space="preserve">CBSE / NCERT Subject</w:t>
            </w:r>
          </w:p>
        </w:tc>
        <w:tc>
          <w:tcPr>
            <w:tcW w:type="dxa" w:w="2000"/>
            <w:tcBorders>
              <w:top w:val="single" w:color="CCCCCC" w:sz="2"/>
              <w:left w:val="single" w:color="CCCCCC" w:sz="2"/>
              <w:bottom w:val="single" w:color="CCCCCC" w:sz="2"/>
              <w:right w:val="single" w:color="CCCCCC" w:sz="2"/>
            </w:tcBorders>
            <w:shd w:fill="8B4500" w:val="clear"/>
            <w:tcMar>
              <w:top w:type="dxa" w:w="90"/>
              <w:left w:type="dxa" w:w="100"/>
              <w:bottom w:type="dxa" w:w="90"/>
              <w:right w:type="dxa" w:w="100"/>
            </w:tcMar>
          </w:tcPr>
          <w:p>
            <w:r>
              <w:rPr>
                <w:rFonts w:ascii="Arial" w:cs="Arial" w:eastAsia="Arial" w:hAnsi="Arial"/>
                <w:b/>
                <w:bCs/>
                <w:color w:val="FFFFFF"/>
                <w:sz w:val="16"/>
                <w:szCs w:val="16"/>
              </w:rPr>
              <w:t xml:space="preserve">Specific Reference</w:t>
            </w:r>
          </w:p>
        </w:tc>
        <w:tc>
          <w:tcPr>
            <w:tcW w:type="dxa" w:w="3600"/>
            <w:tcBorders>
              <w:top w:val="single" w:color="CCCCCC" w:sz="2"/>
              <w:left w:val="single" w:color="CCCCCC" w:sz="2"/>
              <w:bottom w:val="single" w:color="CCCCCC" w:sz="2"/>
              <w:right w:val="single" w:color="CCCCCC" w:sz="2"/>
            </w:tcBorders>
            <w:shd w:fill="8B4500" w:val="clear"/>
            <w:tcMar>
              <w:top w:type="dxa" w:w="90"/>
              <w:left w:type="dxa" w:w="100"/>
              <w:bottom w:type="dxa" w:w="90"/>
              <w:right w:type="dxa" w:w="100"/>
            </w:tcMar>
          </w:tcPr>
          <w:p>
            <w:r>
              <w:rPr>
                <w:rFonts w:ascii="Arial" w:cs="Arial" w:eastAsia="Arial" w:hAnsi="Arial"/>
                <w:b/>
                <w:bCs/>
                <w:color w:val="FFFFFF"/>
                <w:sz w:val="16"/>
                <w:szCs w:val="16"/>
              </w:rPr>
              <w:t xml:space="preserve">How It Connects</w:t>
            </w:r>
          </w:p>
        </w:tc>
      </w:tr>
      <w:tr>
        <w:tc>
          <w:tcPr>
            <w:tcW w:type="dxa" w:w="5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8B4500"/>
                <w:sz w:val="15"/>
                <w:szCs w:val="15"/>
              </w:rPr>
              <w:t xml:space="preserve">0</w:t>
            </w:r>
          </w:p>
        </w:tc>
        <w:tc>
          <w:tcPr>
            <w:tcW w:type="dxa" w:w="22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F3864"/>
                <w:sz w:val="15"/>
                <w:szCs w:val="15"/>
              </w:rPr>
              <w:t xml:space="preserve">Box Breathing</w:t>
            </w:r>
          </w:p>
        </w:tc>
        <w:tc>
          <w:tcPr>
            <w:tcW w:type="dxa" w:w="20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5"/>
                <w:szCs w:val="15"/>
              </w:rPr>
              <w:t xml:space="preserve">Life Skills / Yoga · Health and PE</w:t>
            </w:r>
          </w:p>
        </w:tc>
        <w:tc>
          <w:tcPr>
            <w:tcW w:type="dxa" w:w="20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5"/>
                <w:szCs w:val="15"/>
              </w:rPr>
              <w:t xml:space="preserve">NCERT: Health and Physical Education Classes 6–10 — yoga and mental wellness · NEP 2020: holistic development</w:t>
            </w:r>
          </w:p>
        </w:tc>
        <w:tc>
          <w:tcPr>
            <w:tcW w:type="dxa" w:w="36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5"/>
                <w:szCs w:val="15"/>
              </w:rPr>
              <w:t xml:space="preserve">Box Breathing reinforces the CBSE emphasis on yoga, mental wellness, and emotional regulation — core Life Skills competencies.</w:t>
            </w:r>
          </w:p>
        </w:tc>
      </w:tr>
      <w:tr>
        <w:tc>
          <w:tcPr>
            <w:tcW w:type="dxa" w:w="500"/>
            <w:tcBorders>
              <w:top w:val="single" w:color="CCCCCC" w:sz="2"/>
              <w:left w:val="single" w:color="CCCCCC" w:sz="2"/>
              <w:bottom w:val="single" w:color="CCCCCC" w:sz="2"/>
              <w:right w:val="single" w:color="CCCCCC" w:sz="2"/>
            </w:tcBorders>
            <w:shd w:fill="FFF5EA"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8B4500"/>
                <w:sz w:val="15"/>
                <w:szCs w:val="15"/>
              </w:rPr>
              <w:t xml:space="preserve">1</w:t>
            </w:r>
          </w:p>
        </w:tc>
        <w:tc>
          <w:tcPr>
            <w:tcW w:type="dxa" w:w="2200"/>
            <w:tcBorders>
              <w:top w:val="single" w:color="CCCCCC" w:sz="2"/>
              <w:left w:val="single" w:color="CCCCCC" w:sz="2"/>
              <w:bottom w:val="single" w:color="CCCCCC" w:sz="2"/>
              <w:right w:val="single" w:color="CCCCCC" w:sz="2"/>
            </w:tcBorders>
            <w:shd w:fill="FFF5EA"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F3864"/>
                <w:sz w:val="15"/>
                <w:szCs w:val="15"/>
              </w:rPr>
              <w:t xml:space="preserve">The Coaching Switch</w:t>
            </w:r>
          </w:p>
        </w:tc>
        <w:tc>
          <w:tcPr>
            <w:tcW w:type="dxa" w:w="2000"/>
            <w:tcBorders>
              <w:top w:val="single" w:color="CCCCCC" w:sz="2"/>
              <w:left w:val="single" w:color="CCCCCC" w:sz="2"/>
              <w:bottom w:val="single" w:color="CCCCCC" w:sz="2"/>
              <w:right w:val="single" w:color="CCCCCC" w:sz="2"/>
            </w:tcBorders>
            <w:shd w:fill="FFF5EA"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5"/>
                <w:szCs w:val="15"/>
              </w:rPr>
              <w:t xml:space="preserve">Life Skills · English</w:t>
            </w:r>
          </w:p>
        </w:tc>
        <w:tc>
          <w:tcPr>
            <w:tcW w:type="dxa" w:w="2000"/>
            <w:tcBorders>
              <w:top w:val="single" w:color="CCCCCC" w:sz="2"/>
              <w:left w:val="single" w:color="CCCCCC" w:sz="2"/>
              <w:bottom w:val="single" w:color="CCCCCC" w:sz="2"/>
              <w:right w:val="single" w:color="CCCCCC" w:sz="2"/>
            </w:tcBorders>
            <w:shd w:fill="FFF5EA"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5"/>
                <w:szCs w:val="15"/>
              </w:rPr>
              <w:t xml:space="preserve">Life Skills: self-awareness, effective communication · English: speaking and listening</w:t>
            </w:r>
          </w:p>
        </w:tc>
        <w:tc>
          <w:tcPr>
            <w:tcW w:type="dxa" w:w="3600"/>
            <w:tcBorders>
              <w:top w:val="single" w:color="CCCCCC" w:sz="2"/>
              <w:left w:val="single" w:color="CCCCCC" w:sz="2"/>
              <w:bottom w:val="single" w:color="CCCCCC" w:sz="2"/>
              <w:right w:val="single" w:color="CCCCCC" w:sz="2"/>
            </w:tcBorders>
            <w:shd w:fill="FFF5EA"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5"/>
                <w:szCs w:val="15"/>
              </w:rPr>
              <w:t xml:space="preserve">The coaching switch builds self-directed reasoning and oral communication — core Life Skills outcomes and NCERT English speaking objectives.</w:t>
            </w:r>
          </w:p>
        </w:tc>
      </w:tr>
      <w:tr>
        <w:tc>
          <w:tcPr>
            <w:tcW w:type="dxa" w:w="5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8B4500"/>
                <w:sz w:val="15"/>
                <w:szCs w:val="15"/>
              </w:rPr>
              <w:t xml:space="preserve">2</w:t>
            </w:r>
          </w:p>
        </w:tc>
        <w:tc>
          <w:tcPr>
            <w:tcW w:type="dxa" w:w="22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F3864"/>
                <w:sz w:val="15"/>
                <w:szCs w:val="15"/>
              </w:rPr>
              <w:t xml:space="preserve">Start Early, Naturally</w:t>
            </w:r>
          </w:p>
        </w:tc>
        <w:tc>
          <w:tcPr>
            <w:tcW w:type="dxa" w:w="20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5"/>
                <w:szCs w:val="15"/>
              </w:rPr>
              <w:t xml:space="preserve">EVS / Social Science</w:t>
            </w:r>
          </w:p>
        </w:tc>
        <w:tc>
          <w:tcPr>
            <w:tcW w:type="dxa" w:w="20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5"/>
                <w:szCs w:val="15"/>
              </w:rPr>
              <w:t xml:space="preserve">EVS Classes 3–5: family and community · NCF 2023: foundational stage learning outcomes</w:t>
            </w:r>
          </w:p>
        </w:tc>
        <w:tc>
          <w:tcPr>
            <w:tcW w:type="dxa" w:w="36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5"/>
                <w:szCs w:val="15"/>
              </w:rPr>
              <w:t xml:space="preserve">The developmental window aligns to the CBSE foundational and preparatory stage (Classes 3–5) emphasis on curiosity and exploration.</w:t>
            </w:r>
          </w:p>
        </w:tc>
      </w:tr>
      <w:tr>
        <w:tc>
          <w:tcPr>
            <w:tcW w:type="dxa" w:w="500"/>
            <w:tcBorders>
              <w:top w:val="single" w:color="CCCCCC" w:sz="2"/>
              <w:left w:val="single" w:color="CCCCCC" w:sz="2"/>
              <w:bottom w:val="single" w:color="CCCCCC" w:sz="2"/>
              <w:right w:val="single" w:color="CCCCCC" w:sz="2"/>
            </w:tcBorders>
            <w:shd w:fill="FFF5EA"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8B4500"/>
                <w:sz w:val="15"/>
                <w:szCs w:val="15"/>
              </w:rPr>
              <w:t xml:space="preserve">3</w:t>
            </w:r>
          </w:p>
        </w:tc>
        <w:tc>
          <w:tcPr>
            <w:tcW w:type="dxa" w:w="2200"/>
            <w:tcBorders>
              <w:top w:val="single" w:color="CCCCCC" w:sz="2"/>
              <w:left w:val="single" w:color="CCCCCC" w:sz="2"/>
              <w:bottom w:val="single" w:color="CCCCCC" w:sz="2"/>
              <w:right w:val="single" w:color="CCCCCC" w:sz="2"/>
            </w:tcBorders>
            <w:shd w:fill="FFF5EA"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F3864"/>
                <w:sz w:val="15"/>
                <w:szCs w:val="15"/>
              </w:rPr>
              <w:t xml:space="preserve">Mindset — Curiosity and Books</w:t>
            </w:r>
          </w:p>
        </w:tc>
        <w:tc>
          <w:tcPr>
            <w:tcW w:type="dxa" w:w="2000"/>
            <w:tcBorders>
              <w:top w:val="single" w:color="CCCCCC" w:sz="2"/>
              <w:left w:val="single" w:color="CCCCCC" w:sz="2"/>
              <w:bottom w:val="single" w:color="CCCCCC" w:sz="2"/>
              <w:right w:val="single" w:color="CCCCCC" w:sz="2"/>
            </w:tcBorders>
            <w:shd w:fill="FFF5EA"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5"/>
                <w:szCs w:val="15"/>
              </w:rPr>
              <w:t xml:space="preserve">English · Life Skills</w:t>
            </w:r>
          </w:p>
        </w:tc>
        <w:tc>
          <w:tcPr>
            <w:tcW w:type="dxa" w:w="2000"/>
            <w:tcBorders>
              <w:top w:val="single" w:color="CCCCCC" w:sz="2"/>
              <w:left w:val="single" w:color="CCCCCC" w:sz="2"/>
              <w:bottom w:val="single" w:color="CCCCCC" w:sz="2"/>
              <w:right w:val="single" w:color="CCCCCC" w:sz="2"/>
            </w:tcBorders>
            <w:shd w:fill="FFF5EA"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5"/>
                <w:szCs w:val="15"/>
              </w:rPr>
              <w:t xml:space="preserve">NCERT English: reading comprehension and pleasure · Life Skills: critical thinking · NCF 2023: reading culture</w:t>
            </w:r>
          </w:p>
        </w:tc>
        <w:tc>
          <w:tcPr>
            <w:tcW w:type="dxa" w:w="3600"/>
            <w:tcBorders>
              <w:top w:val="single" w:color="CCCCCC" w:sz="2"/>
              <w:left w:val="single" w:color="CCCCCC" w:sz="2"/>
              <w:bottom w:val="single" w:color="CCCCCC" w:sz="2"/>
              <w:right w:val="single" w:color="CCCCCC" w:sz="2"/>
            </w:tcBorders>
            <w:shd w:fill="FFF5EA"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5"/>
                <w:szCs w:val="15"/>
              </w:rPr>
              <w:t xml:space="preserve">The emphasis on books over screens reinforces NCERT English reading objectives and the NCF 2023 call for a strong reading culture in Indian schools.</w:t>
            </w:r>
          </w:p>
        </w:tc>
      </w:tr>
      <w:tr>
        <w:tc>
          <w:tcPr>
            <w:tcW w:type="dxa" w:w="5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8B4500"/>
                <w:sz w:val="15"/>
                <w:szCs w:val="15"/>
              </w:rPr>
              <w:t xml:space="preserve">4</w:t>
            </w:r>
          </w:p>
        </w:tc>
        <w:tc>
          <w:tcPr>
            <w:tcW w:type="dxa" w:w="22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F3864"/>
                <w:sz w:val="15"/>
                <w:szCs w:val="15"/>
              </w:rPr>
              <w:t xml:space="preserve">Action Over Theory</w:t>
            </w:r>
          </w:p>
        </w:tc>
        <w:tc>
          <w:tcPr>
            <w:tcW w:type="dxa" w:w="20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5"/>
                <w:szCs w:val="15"/>
              </w:rPr>
              <w:t xml:space="preserve">Science · Life Skills</w:t>
            </w:r>
          </w:p>
        </w:tc>
        <w:tc>
          <w:tcPr>
            <w:tcW w:type="dxa" w:w="20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5"/>
                <w:szCs w:val="15"/>
              </w:rPr>
              <w:t xml:space="preserve">NCERT Science Classes 5–8: inquiry and investigation · Life Skills: problem-solving · NEP: experiential learning</w:t>
            </w:r>
          </w:p>
        </w:tc>
        <w:tc>
          <w:tcPr>
            <w:tcW w:type="dxa" w:w="36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5"/>
                <w:szCs w:val="15"/>
              </w:rPr>
              <w:t xml:space="preserve">The Experiment Log mirrors the NCERT Science inquiry approach. NEP 2020 explicitly calls for experiential, activity-based learning — Pillar 4 is its direct family equivalent.</w:t>
            </w:r>
          </w:p>
        </w:tc>
      </w:tr>
      <w:tr>
        <w:tc>
          <w:tcPr>
            <w:tcW w:type="dxa" w:w="500"/>
            <w:tcBorders>
              <w:top w:val="single" w:color="CCCCCC" w:sz="2"/>
              <w:left w:val="single" w:color="CCCCCC" w:sz="2"/>
              <w:bottom w:val="single" w:color="CCCCCC" w:sz="2"/>
              <w:right w:val="single" w:color="CCCCCC" w:sz="2"/>
            </w:tcBorders>
            <w:shd w:fill="FFF5EA"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8B4500"/>
                <w:sz w:val="15"/>
                <w:szCs w:val="15"/>
              </w:rPr>
              <w:t xml:space="preserve">5</w:t>
            </w:r>
          </w:p>
        </w:tc>
        <w:tc>
          <w:tcPr>
            <w:tcW w:type="dxa" w:w="2200"/>
            <w:tcBorders>
              <w:top w:val="single" w:color="CCCCCC" w:sz="2"/>
              <w:left w:val="single" w:color="CCCCCC" w:sz="2"/>
              <w:bottom w:val="single" w:color="CCCCCC" w:sz="2"/>
              <w:right w:val="single" w:color="CCCCCC" w:sz="2"/>
            </w:tcBorders>
            <w:shd w:fill="FFF5EA"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F3864"/>
                <w:sz w:val="15"/>
                <w:szCs w:val="15"/>
              </w:rPr>
              <w:t xml:space="preserve">Financial Literacy — Four Jars</w:t>
            </w:r>
          </w:p>
        </w:tc>
        <w:tc>
          <w:tcPr>
            <w:tcW w:type="dxa" w:w="2000"/>
            <w:tcBorders>
              <w:top w:val="single" w:color="CCCCCC" w:sz="2"/>
              <w:left w:val="single" w:color="CCCCCC" w:sz="2"/>
              <w:bottom w:val="single" w:color="CCCCCC" w:sz="2"/>
              <w:right w:val="single" w:color="CCCCCC" w:sz="2"/>
            </w:tcBorders>
            <w:shd w:fill="FFF5EA"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5"/>
                <w:szCs w:val="15"/>
              </w:rPr>
              <w:t xml:space="preserve">Mathematics · Social Science</w:t>
            </w:r>
          </w:p>
        </w:tc>
        <w:tc>
          <w:tcPr>
            <w:tcW w:type="dxa" w:w="2000"/>
            <w:tcBorders>
              <w:top w:val="single" w:color="CCCCCC" w:sz="2"/>
              <w:left w:val="single" w:color="CCCCCC" w:sz="2"/>
              <w:bottom w:val="single" w:color="CCCCCC" w:sz="2"/>
              <w:right w:val="single" w:color="CCCCCC" w:sz="2"/>
            </w:tcBorders>
            <w:shd w:fill="FFF5EA"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5"/>
                <w:szCs w:val="15"/>
              </w:rPr>
              <w:t xml:space="preserve">NCERT Maths Classes 6–7: percentages and fractions · Social Science Classes 9–10: economics · NEP: financial literacy</w:t>
            </w:r>
          </w:p>
        </w:tc>
        <w:tc>
          <w:tcPr>
            <w:tcW w:type="dxa" w:w="3600"/>
            <w:tcBorders>
              <w:top w:val="single" w:color="CCCCCC" w:sz="2"/>
              <w:left w:val="single" w:color="CCCCCC" w:sz="2"/>
              <w:bottom w:val="single" w:color="CCCCCC" w:sz="2"/>
              <w:right w:val="single" w:color="CCCCCC" w:sz="2"/>
            </w:tcBorders>
            <w:shd w:fill="FFF5EA"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5"/>
                <w:szCs w:val="15"/>
              </w:rPr>
              <w:t xml:space="preserve">The Four Jars applies Class 6–7 percentage calculations. NEP 2020 explicitly includes financial literacy as a competency for all students. Social Science economics strand is directly reinforced.</w:t>
            </w:r>
          </w:p>
        </w:tc>
      </w:tr>
      <w:tr>
        <w:tc>
          <w:tcPr>
            <w:tcW w:type="dxa" w:w="5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8B4500"/>
                <w:sz w:val="15"/>
                <w:szCs w:val="15"/>
              </w:rPr>
              <w:t xml:space="preserve">6</w:t>
            </w:r>
          </w:p>
        </w:tc>
        <w:tc>
          <w:tcPr>
            <w:tcW w:type="dxa" w:w="22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F3864"/>
                <w:sz w:val="15"/>
                <w:szCs w:val="15"/>
              </w:rPr>
              <w:t xml:space="preserve">Three Questions</w:t>
            </w:r>
          </w:p>
        </w:tc>
        <w:tc>
          <w:tcPr>
            <w:tcW w:type="dxa" w:w="20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5"/>
                <w:szCs w:val="15"/>
              </w:rPr>
              <w:t xml:space="preserve">Mathematics · English</w:t>
            </w:r>
          </w:p>
        </w:tc>
        <w:tc>
          <w:tcPr>
            <w:tcW w:type="dxa" w:w="20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5"/>
                <w:szCs w:val="15"/>
              </w:rPr>
              <w:t xml:space="preserve">NCERT Maths: problem-solving and reasoning · English Classes 6–8: writing — analytical and argumentative</w:t>
            </w:r>
          </w:p>
        </w:tc>
        <w:tc>
          <w:tcPr>
            <w:tcW w:type="dxa" w:w="36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5"/>
                <w:szCs w:val="15"/>
              </w:rPr>
              <w:t xml:space="preserve">Three Questions reinforces NCERT mathematical reasoning and the analytical writing objectives of NCERT English Classes 6–8.</w:t>
            </w:r>
          </w:p>
        </w:tc>
      </w:tr>
      <w:tr>
        <w:tc>
          <w:tcPr>
            <w:tcW w:type="dxa" w:w="500"/>
            <w:tcBorders>
              <w:top w:val="single" w:color="CCCCCC" w:sz="2"/>
              <w:left w:val="single" w:color="CCCCCC" w:sz="2"/>
              <w:bottom w:val="single" w:color="CCCCCC" w:sz="2"/>
              <w:right w:val="single" w:color="CCCCCC" w:sz="2"/>
            </w:tcBorders>
            <w:shd w:fill="FFF5EA"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8B4500"/>
                <w:sz w:val="15"/>
                <w:szCs w:val="15"/>
              </w:rPr>
              <w:t xml:space="preserve">7</w:t>
            </w:r>
          </w:p>
        </w:tc>
        <w:tc>
          <w:tcPr>
            <w:tcW w:type="dxa" w:w="2200"/>
            <w:tcBorders>
              <w:top w:val="single" w:color="CCCCCC" w:sz="2"/>
              <w:left w:val="single" w:color="CCCCCC" w:sz="2"/>
              <w:bottom w:val="single" w:color="CCCCCC" w:sz="2"/>
              <w:right w:val="single" w:color="CCCCCC" w:sz="2"/>
            </w:tcBorders>
            <w:shd w:fill="FFF5EA"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F3864"/>
                <w:sz w:val="15"/>
                <w:szCs w:val="15"/>
              </w:rPr>
              <w:t xml:space="preserve">Organisational Skills</w:t>
            </w:r>
          </w:p>
        </w:tc>
        <w:tc>
          <w:tcPr>
            <w:tcW w:type="dxa" w:w="2000"/>
            <w:tcBorders>
              <w:top w:val="single" w:color="CCCCCC" w:sz="2"/>
              <w:left w:val="single" w:color="CCCCCC" w:sz="2"/>
              <w:bottom w:val="single" w:color="CCCCCC" w:sz="2"/>
              <w:right w:val="single" w:color="CCCCCC" w:sz="2"/>
            </w:tcBorders>
            <w:shd w:fill="FFF5EA"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5"/>
                <w:szCs w:val="15"/>
              </w:rPr>
              <w:t xml:space="preserve">Mathematics · Life Skills</w:t>
            </w:r>
          </w:p>
        </w:tc>
        <w:tc>
          <w:tcPr>
            <w:tcW w:type="dxa" w:w="2000"/>
            <w:tcBorders>
              <w:top w:val="single" w:color="CCCCCC" w:sz="2"/>
              <w:left w:val="single" w:color="CCCCCC" w:sz="2"/>
              <w:bottom w:val="single" w:color="CCCCCC" w:sz="2"/>
              <w:right w:val="single" w:color="CCCCCC" w:sz="2"/>
            </w:tcBorders>
            <w:shd w:fill="FFF5EA"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5"/>
                <w:szCs w:val="15"/>
              </w:rPr>
              <w:t xml:space="preserve">NCERT Maths: time and data · Life Skills: self-management · NEP: 21st century skills</w:t>
            </w:r>
          </w:p>
        </w:tc>
        <w:tc>
          <w:tcPr>
            <w:tcW w:type="dxa" w:w="3600"/>
            <w:tcBorders>
              <w:top w:val="single" w:color="CCCCCC" w:sz="2"/>
              <w:left w:val="single" w:color="CCCCCC" w:sz="2"/>
              <w:bottom w:val="single" w:color="CCCCCC" w:sz="2"/>
              <w:right w:val="single" w:color="CCCCCC" w:sz="2"/>
            </w:tcBorders>
            <w:shd w:fill="FFF5EA"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5"/>
                <w:szCs w:val="15"/>
              </w:rPr>
              <w:t xml:space="preserve">Time Audit applies NCERT time and data handling. NEP 2020's 21st century skills framework explicitly includes self-management and planning.</w:t>
            </w:r>
          </w:p>
        </w:tc>
      </w:tr>
      <w:tr>
        <w:tc>
          <w:tcPr>
            <w:tcW w:type="dxa" w:w="5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8B4500"/>
                <w:sz w:val="15"/>
                <w:szCs w:val="15"/>
              </w:rPr>
              <w:t xml:space="preserve">8</w:t>
            </w:r>
          </w:p>
        </w:tc>
        <w:tc>
          <w:tcPr>
            <w:tcW w:type="dxa" w:w="22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F3864"/>
                <w:sz w:val="15"/>
                <w:szCs w:val="15"/>
              </w:rPr>
              <w:t xml:space="preserve">Communication — The Pitch</w:t>
            </w:r>
          </w:p>
        </w:tc>
        <w:tc>
          <w:tcPr>
            <w:tcW w:type="dxa" w:w="20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5"/>
                <w:szCs w:val="15"/>
              </w:rPr>
              <w:t xml:space="preserve">English · Life Skills</w:t>
            </w:r>
          </w:p>
        </w:tc>
        <w:tc>
          <w:tcPr>
            <w:tcW w:type="dxa" w:w="20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5"/>
                <w:szCs w:val="15"/>
              </w:rPr>
              <w:t xml:space="preserve">NCERT English: speaking and listening · Life Skills: effective communication · NEP: multilingual ability</w:t>
            </w:r>
          </w:p>
        </w:tc>
        <w:tc>
          <w:tcPr>
            <w:tcW w:type="dxa" w:w="36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5"/>
                <w:szCs w:val="15"/>
              </w:rPr>
              <w:t xml:space="preserve">Five-Part Pitch reinforces NCERT English speaking objectives and Life Skills communication competency. The programme works in any language — reinforcing NEP's multilingual emphasis.</w:t>
            </w:r>
          </w:p>
        </w:tc>
      </w:tr>
      <w:tr>
        <w:tc>
          <w:tcPr>
            <w:tcW w:type="dxa" w:w="500"/>
            <w:tcBorders>
              <w:top w:val="single" w:color="CCCCCC" w:sz="2"/>
              <w:left w:val="single" w:color="CCCCCC" w:sz="2"/>
              <w:bottom w:val="single" w:color="CCCCCC" w:sz="2"/>
              <w:right w:val="single" w:color="CCCCCC" w:sz="2"/>
            </w:tcBorders>
            <w:shd w:fill="FFF5EA"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8B4500"/>
                <w:sz w:val="15"/>
                <w:szCs w:val="15"/>
              </w:rPr>
              <w:t xml:space="preserve">9</w:t>
            </w:r>
          </w:p>
        </w:tc>
        <w:tc>
          <w:tcPr>
            <w:tcW w:type="dxa" w:w="2200"/>
            <w:tcBorders>
              <w:top w:val="single" w:color="CCCCCC" w:sz="2"/>
              <w:left w:val="single" w:color="CCCCCC" w:sz="2"/>
              <w:bottom w:val="single" w:color="CCCCCC" w:sz="2"/>
              <w:right w:val="single" w:color="CCCCCC" w:sz="2"/>
            </w:tcBorders>
            <w:shd w:fill="FFF5EA"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F3864"/>
                <w:sz w:val="15"/>
                <w:szCs w:val="15"/>
              </w:rPr>
              <w:t xml:space="preserve">Creativity and Networks</w:t>
            </w:r>
          </w:p>
        </w:tc>
        <w:tc>
          <w:tcPr>
            <w:tcW w:type="dxa" w:w="2000"/>
            <w:tcBorders>
              <w:top w:val="single" w:color="CCCCCC" w:sz="2"/>
              <w:left w:val="single" w:color="CCCCCC" w:sz="2"/>
              <w:bottom w:val="single" w:color="CCCCCC" w:sz="2"/>
              <w:right w:val="single" w:color="CCCCCC" w:sz="2"/>
            </w:tcBorders>
            <w:shd w:fill="FFF5EA"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5"/>
                <w:szCs w:val="15"/>
              </w:rPr>
              <w:t xml:space="preserve">Social Science · Art Education</w:t>
            </w:r>
          </w:p>
        </w:tc>
        <w:tc>
          <w:tcPr>
            <w:tcW w:type="dxa" w:w="2000"/>
            <w:tcBorders>
              <w:top w:val="single" w:color="CCCCCC" w:sz="2"/>
              <w:left w:val="single" w:color="CCCCCC" w:sz="2"/>
              <w:bottom w:val="single" w:color="CCCCCC" w:sz="2"/>
              <w:right w:val="single" w:color="CCCCCC" w:sz="2"/>
            </w:tcBorders>
            <w:shd w:fill="FFF5EA"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5"/>
                <w:szCs w:val="15"/>
              </w:rPr>
              <w:t xml:space="preserve">Social Science: community and society · Art Education: creativity · NEP: creative and critical thinking</w:t>
            </w:r>
          </w:p>
        </w:tc>
        <w:tc>
          <w:tcPr>
            <w:tcW w:type="dxa" w:w="3600"/>
            <w:tcBorders>
              <w:top w:val="single" w:color="CCCCCC" w:sz="2"/>
              <w:left w:val="single" w:color="CCCCCC" w:sz="2"/>
              <w:bottom w:val="single" w:color="CCCCCC" w:sz="2"/>
              <w:right w:val="single" w:color="CCCCCC" w:sz="2"/>
            </w:tcBorders>
            <w:shd w:fill="FFF5EA"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5"/>
                <w:szCs w:val="15"/>
              </w:rPr>
              <w:t xml:space="preserve">Idea Collision and Network Map reinforce Social Science community concepts and NEP's call for creative, innovative thinking as a core educational outcome.</w:t>
            </w:r>
          </w:p>
        </w:tc>
      </w:tr>
      <w:tr>
        <w:tc>
          <w:tcPr>
            <w:tcW w:type="dxa" w:w="5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8B4500"/>
                <w:sz w:val="15"/>
                <w:szCs w:val="15"/>
              </w:rPr>
              <w:t xml:space="preserve">10</w:t>
            </w:r>
          </w:p>
        </w:tc>
        <w:tc>
          <w:tcPr>
            <w:tcW w:type="dxa" w:w="22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1F3864"/>
                <w:sz w:val="15"/>
                <w:szCs w:val="15"/>
              </w:rPr>
              <w:t xml:space="preserve">Leadership Through Collaboration</w:t>
            </w:r>
          </w:p>
        </w:tc>
        <w:tc>
          <w:tcPr>
            <w:tcW w:type="dxa" w:w="20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5"/>
                <w:szCs w:val="15"/>
              </w:rPr>
              <w:t xml:space="preserve">Life Skills · Social Science</w:t>
            </w:r>
          </w:p>
        </w:tc>
        <w:tc>
          <w:tcPr>
            <w:tcW w:type="dxa" w:w="20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5"/>
                <w:szCs w:val="15"/>
              </w:rPr>
              <w:t xml:space="preserve">Life Skills: leadership and teamwork · Social Science Classes 9–10: democratic participation · NEP: values education</w:t>
            </w:r>
          </w:p>
        </w:tc>
        <w:tc>
          <w:tcPr>
            <w:tcW w:type="dxa" w:w="36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444444"/>
                <w:sz w:val="15"/>
                <w:szCs w:val="15"/>
              </w:rPr>
              <w:t xml:space="preserve">Leadership tools reinforce Life Skills leadership competencies and Social Science democratic participation objectives. Integrity Check reinforces constitutional values — core to CBSE.</w:t>
            </w:r>
          </w:p>
        </w:tc>
      </w:tr>
    </w:tbl>
    <w:p>
      <w:pPr>
        <w:spacing w:after="360" w:before="0"/>
      </w:pPr>
    </w:p>
    <w:p>
      <w:r>
        <w:br w:type="page"/>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10080"/>
            <w:tcBorders>
              <w:top w:val="none"/>
              <w:left w:val="none"/>
              <w:bottom w:val="none"/>
              <w:right w:val="none"/>
            </w:tcBorders>
            <w:shd w:fill="8B4500" w:val="clear"/>
            <w:tcMar>
              <w:top w:type="dxa" w:w="160"/>
              <w:left w:type="dxa" w:w="240"/>
              <w:bottom w:type="dxa" w:w="80"/>
              <w:right w:type="dxa" w:w="240"/>
            </w:tcMar>
          </w:tcPr>
          <w:p>
            <w:pPr>
              <w:jc w:val="center"/>
            </w:pPr>
            <w:r>
              <w:rPr>
                <w:rFonts w:ascii="Arial" w:cs="Arial" w:eastAsia="Arial" w:hAnsi="Arial"/>
                <w:b/>
                <w:bCs/>
                <w:color w:val="FFFFFF"/>
                <w:sz w:val="20"/>
                <w:szCs w:val="20"/>
              </w:rPr>
              <w:t xml:space="preserve">SECTION 2: WEEK-BY-WEEK CBSE REFERENCES</w:t>
            </w:r>
          </w:p>
        </w:tc>
      </w:tr>
      <w:tr>
        <w:tc>
          <w:tcPr>
            <w:tcW w:type="dxa" w:w="10080"/>
            <w:tcBorders>
              <w:top w:val="none"/>
              <w:left w:val="none"/>
              <w:bottom w:val="none"/>
              <w:right w:val="none"/>
            </w:tcBorders>
            <w:shd w:fill="8B4500" w:val="clear"/>
            <w:tcMar>
              <w:top w:type="dxa" w:w="0"/>
              <w:left w:type="dxa" w:w="240"/>
              <w:bottom w:type="dxa" w:w="130"/>
              <w:right w:type="dxa" w:w="240"/>
            </w:tcMar>
          </w:tcPr>
          <w:p>
            <w:pPr>
              <w:jc w:val="center"/>
            </w:pPr>
            <w:r>
              <w:rPr>
                <w:rFonts w:ascii="Arial" w:cs="Arial" w:eastAsia="Arial" w:hAnsi="Arial"/>
                <w:color w:val="AABBCC"/>
                <w:sz w:val="17"/>
                <w:szCs w:val="17"/>
              </w:rPr>
              <w:t xml:space="preserve">Representative episodes with specific curriculum references</w:t>
            </w:r>
          </w:p>
        </w:tc>
      </w:tr>
    </w:tbl>
    <w:p>
      <w:pPr>
        <w:spacing w:after="280" w:before="0"/>
      </w:pPr>
    </w:p>
    <w:p>
      <w:pPr>
        <w:spacing w:after="150" w:before="0" w:line="280" w:lineRule="auto"/>
        <w:jc w:val="both"/>
      </w:pPr>
      <w:r>
        <w:rPr>
          <w:rFonts w:ascii="Arial" w:cs="Arial" w:eastAsia="Arial" w:hAnsi="Arial"/>
          <w:b w:val="false"/>
          <w:bCs w:val="false"/>
          <w:i w:val="false"/>
          <w:iCs w:val="false"/>
          <w:color w:val="444444"/>
          <w:sz w:val="19"/>
          <w:szCs w:val="19"/>
        </w:rPr>
        <w:t xml:space="preserve">The following table provides specific CBSE curriculum references for 16 representative episodes across all four phases of the programme. These are selected to illustrate the range of alignment — the full 52-week reference table is available at simplejoyfamily.com/schools.</w:t>
      </w:r>
    </w:p>
    <w:p>
      <w:pPr>
        <w:spacing w:after="200" w:before="0"/>
      </w:pPr>
    </w:p>
    <w:tbl>
      <w:tblPr>
        <w:tblW w:type="dxa" w:w="10400"/>
        <w:tblBorders>
          <w:top w:val="single" w:color="auto" w:sz="4"/>
          <w:left w:val="single" w:color="auto" w:sz="4"/>
          <w:bottom w:val="single" w:color="auto" w:sz="4"/>
          <w:right w:val="single" w:color="auto" w:sz="4"/>
          <w:insideH w:val="single" w:color="auto" w:sz="4"/>
          <w:insideV w:val="single" w:color="auto" w:sz="4"/>
        </w:tblBorders>
      </w:tblPr>
      <w:tblGrid>
        <w:gridCol w:w="600"/>
        <w:gridCol w:w="2800"/>
        <w:gridCol w:w="1800"/>
        <w:gridCol w:w="1800"/>
        <w:gridCol w:w="3400"/>
      </w:tblGrid>
      <w:tr>
        <w:tc>
          <w:tcPr>
            <w:tcW w:type="dxa" w:w="600"/>
            <w:tcBorders>
              <w:top w:val="single" w:color="CCCCCC" w:sz="2"/>
              <w:left w:val="single" w:color="CCCCCC" w:sz="2"/>
              <w:bottom w:val="single" w:color="CCCCCC" w:sz="2"/>
              <w:right w:val="single" w:color="CCCCCC" w:sz="2"/>
            </w:tcBorders>
            <w:shd w:fill="8B4500" w:val="clear"/>
            <w:tcMar>
              <w:top w:type="dxa" w:w="90"/>
              <w:left w:type="dxa" w:w="100"/>
              <w:bottom w:type="dxa" w:w="90"/>
              <w:right w:type="dxa" w:w="100"/>
            </w:tcMar>
          </w:tcPr>
          <w:p>
            <w:r>
              <w:rPr>
                <w:rFonts w:ascii="Arial" w:cs="Arial" w:eastAsia="Arial" w:hAnsi="Arial"/>
                <w:b/>
                <w:bCs/>
                <w:color w:val="FFFFFF"/>
                <w:sz w:val="16"/>
                <w:szCs w:val="16"/>
              </w:rPr>
              <w:t xml:space="preserve">Wk</w:t>
            </w:r>
          </w:p>
        </w:tc>
        <w:tc>
          <w:tcPr>
            <w:tcW w:type="dxa" w:w="2800"/>
            <w:tcBorders>
              <w:top w:val="single" w:color="CCCCCC" w:sz="2"/>
              <w:left w:val="single" w:color="CCCCCC" w:sz="2"/>
              <w:bottom w:val="single" w:color="CCCCCC" w:sz="2"/>
              <w:right w:val="single" w:color="CCCCCC" w:sz="2"/>
            </w:tcBorders>
            <w:shd w:fill="8B4500" w:val="clear"/>
            <w:tcMar>
              <w:top w:type="dxa" w:w="90"/>
              <w:left w:type="dxa" w:w="100"/>
              <w:bottom w:type="dxa" w:w="90"/>
              <w:right w:type="dxa" w:w="100"/>
            </w:tcMar>
          </w:tcPr>
          <w:p>
            <w:r>
              <w:rPr>
                <w:rFonts w:ascii="Arial" w:cs="Arial" w:eastAsia="Arial" w:hAnsi="Arial"/>
                <w:b/>
                <w:bCs/>
                <w:color w:val="FFFFFF"/>
                <w:sz w:val="16"/>
                <w:szCs w:val="16"/>
              </w:rPr>
              <w:t xml:space="preserve">Episode Title</w:t>
            </w:r>
          </w:p>
        </w:tc>
        <w:tc>
          <w:tcPr>
            <w:tcW w:type="dxa" w:w="1800"/>
            <w:tcBorders>
              <w:top w:val="single" w:color="CCCCCC" w:sz="2"/>
              <w:left w:val="single" w:color="CCCCCC" w:sz="2"/>
              <w:bottom w:val="single" w:color="CCCCCC" w:sz="2"/>
              <w:right w:val="single" w:color="CCCCCC" w:sz="2"/>
            </w:tcBorders>
            <w:shd w:fill="8B4500" w:val="clear"/>
            <w:tcMar>
              <w:top w:type="dxa" w:w="90"/>
              <w:left w:type="dxa" w:w="100"/>
              <w:bottom w:type="dxa" w:w="90"/>
              <w:right w:type="dxa" w:w="100"/>
            </w:tcMar>
          </w:tcPr>
          <w:p>
            <w:r>
              <w:rPr>
                <w:rFonts w:ascii="Arial" w:cs="Arial" w:eastAsia="Arial" w:hAnsi="Arial"/>
                <w:b/>
                <w:bCs/>
                <w:color w:val="FFFFFF"/>
                <w:sz w:val="16"/>
                <w:szCs w:val="16"/>
              </w:rPr>
              <w:t xml:space="preserve">CBSE Subject</w:t>
            </w:r>
          </w:p>
        </w:tc>
        <w:tc>
          <w:tcPr>
            <w:tcW w:type="dxa" w:w="1800"/>
            <w:tcBorders>
              <w:top w:val="single" w:color="CCCCCC" w:sz="2"/>
              <w:left w:val="single" w:color="CCCCCC" w:sz="2"/>
              <w:bottom w:val="single" w:color="CCCCCC" w:sz="2"/>
              <w:right w:val="single" w:color="CCCCCC" w:sz="2"/>
            </w:tcBorders>
            <w:shd w:fill="8B4500" w:val="clear"/>
            <w:tcMar>
              <w:top w:type="dxa" w:w="90"/>
              <w:left w:type="dxa" w:w="100"/>
              <w:bottom w:type="dxa" w:w="90"/>
              <w:right w:type="dxa" w:w="100"/>
            </w:tcMar>
          </w:tcPr>
          <w:p>
            <w:r>
              <w:rPr>
                <w:rFonts w:ascii="Arial" w:cs="Arial" w:eastAsia="Arial" w:hAnsi="Arial"/>
                <w:b/>
                <w:bCs/>
                <w:color w:val="FFFFFF"/>
                <w:sz w:val="16"/>
                <w:szCs w:val="16"/>
              </w:rPr>
              <w:t xml:space="preserve">NCERT / NEP Reference</w:t>
            </w:r>
          </w:p>
        </w:tc>
        <w:tc>
          <w:tcPr>
            <w:tcW w:type="dxa" w:w="3400"/>
            <w:tcBorders>
              <w:top w:val="single" w:color="CCCCCC" w:sz="2"/>
              <w:left w:val="single" w:color="CCCCCC" w:sz="2"/>
              <w:bottom w:val="single" w:color="CCCCCC" w:sz="2"/>
              <w:right w:val="single" w:color="CCCCCC" w:sz="2"/>
            </w:tcBorders>
            <w:shd w:fill="8B4500" w:val="clear"/>
            <w:tcMar>
              <w:top w:type="dxa" w:w="90"/>
              <w:left w:type="dxa" w:w="100"/>
              <w:bottom w:type="dxa" w:w="90"/>
              <w:right w:type="dxa" w:w="100"/>
            </w:tcMar>
          </w:tcPr>
          <w:p>
            <w:r>
              <w:rPr>
                <w:rFonts w:ascii="Arial" w:cs="Arial" w:eastAsia="Arial" w:hAnsi="Arial"/>
                <w:b/>
                <w:bCs/>
                <w:color w:val="FFFFFF"/>
                <w:sz w:val="16"/>
                <w:szCs w:val="16"/>
              </w:rPr>
              <w:t xml:space="preserve">Application</w:t>
            </w:r>
          </w:p>
        </w:tc>
      </w:tr>
      <w:tr>
        <w:tc>
          <w:tcPr>
            <w:tcW w:type="dxa" w:w="6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8B4500"/>
                <w:sz w:val="14"/>
                <w:szCs w:val="14"/>
              </w:rPr>
              <w:t xml:space="preserve">1</w:t>
            </w:r>
          </w:p>
        </w:tc>
        <w:tc>
          <w:tcPr>
            <w:tcW w:type="dxa" w:w="28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1F3864"/>
                <w:sz w:val="14"/>
                <w:szCs w:val="14"/>
              </w:rPr>
              <w:t xml:space="preserve">The Dinner Table</w:t>
            </w:r>
          </w:p>
        </w:tc>
        <w:tc>
          <w:tcPr>
            <w:tcW w:type="dxa" w:w="18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Life Skills / English</w:t>
            </w:r>
          </w:p>
        </w:tc>
        <w:tc>
          <w:tcPr>
            <w:tcW w:type="dxa" w:w="18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Life Skills: self-awareness · English: speaking</w:t>
            </w:r>
          </w:p>
        </w:tc>
        <w:tc>
          <w:tcPr>
            <w:tcW w:type="dxa" w:w="34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Noticing question builds self-awareness and oral communication — core Life Skills and NCERT English objectives.</w:t>
            </w:r>
          </w:p>
        </w:tc>
      </w:tr>
      <w:tr>
        <w:tc>
          <w:tcPr>
            <w:tcW w:type="dxa" w:w="600"/>
            <w:tcBorders>
              <w:top w:val="single" w:color="CCCCCC" w:sz="2"/>
              <w:left w:val="single" w:color="CCCCCC" w:sz="2"/>
              <w:bottom w:val="single" w:color="CCCCCC" w:sz="2"/>
              <w:right w:val="single" w:color="CCCCCC" w:sz="2"/>
            </w:tcBorders>
            <w:shd w:fill="FFF5EA"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8B4500"/>
                <w:sz w:val="14"/>
                <w:szCs w:val="14"/>
              </w:rPr>
              <w:t xml:space="preserve">2</w:t>
            </w:r>
          </w:p>
        </w:tc>
        <w:tc>
          <w:tcPr>
            <w:tcW w:type="dxa" w:w="2800"/>
            <w:tcBorders>
              <w:top w:val="single" w:color="CCCCCC" w:sz="2"/>
              <w:left w:val="single" w:color="CCCCCC" w:sz="2"/>
              <w:bottom w:val="single" w:color="CCCCCC" w:sz="2"/>
              <w:right w:val="single" w:color="CCCCCC" w:sz="2"/>
            </w:tcBorders>
            <w:shd w:fill="FFF5EA"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1F3864"/>
                <w:sz w:val="14"/>
                <w:szCs w:val="14"/>
              </w:rPr>
              <w:t xml:space="preserve">Coaching Switch</w:t>
            </w:r>
          </w:p>
        </w:tc>
        <w:tc>
          <w:tcPr>
            <w:tcW w:type="dxa" w:w="1800"/>
            <w:tcBorders>
              <w:top w:val="single" w:color="CCCCCC" w:sz="2"/>
              <w:left w:val="single" w:color="CCCCCC" w:sz="2"/>
              <w:bottom w:val="single" w:color="CCCCCC" w:sz="2"/>
              <w:right w:val="single" w:color="CCCCCC" w:sz="2"/>
            </w:tcBorders>
            <w:shd w:fill="FFF5EA"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Life Skills / English</w:t>
            </w:r>
          </w:p>
        </w:tc>
        <w:tc>
          <w:tcPr>
            <w:tcW w:type="dxa" w:w="1800"/>
            <w:tcBorders>
              <w:top w:val="single" w:color="CCCCCC" w:sz="2"/>
              <w:left w:val="single" w:color="CCCCCC" w:sz="2"/>
              <w:bottom w:val="single" w:color="CCCCCC" w:sz="2"/>
              <w:right w:val="single" w:color="CCCCCC" w:sz="2"/>
            </w:tcBorders>
            <w:shd w:fill="FFF5EA"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Life Skills: effective communication · English: speaking and listening</w:t>
            </w:r>
          </w:p>
        </w:tc>
        <w:tc>
          <w:tcPr>
            <w:tcW w:type="dxa" w:w="3400"/>
            <w:tcBorders>
              <w:top w:val="single" w:color="CCCCCC" w:sz="2"/>
              <w:left w:val="single" w:color="CCCCCC" w:sz="2"/>
              <w:bottom w:val="single" w:color="CCCCCC" w:sz="2"/>
              <w:right w:val="single" w:color="CCCCCC" w:sz="2"/>
            </w:tcBorders>
            <w:shd w:fill="FFF5EA"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Coaching questions build oral reasoning — reinforces NCERT English and Life Skills communication objectives.</w:t>
            </w:r>
          </w:p>
        </w:tc>
      </w:tr>
      <w:tr>
        <w:tc>
          <w:tcPr>
            <w:tcW w:type="dxa" w:w="6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8B4500"/>
                <w:sz w:val="14"/>
                <w:szCs w:val="14"/>
              </w:rPr>
              <w:t xml:space="preserve">7</w:t>
            </w:r>
          </w:p>
        </w:tc>
        <w:tc>
          <w:tcPr>
            <w:tcW w:type="dxa" w:w="28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1F3864"/>
                <w:sz w:val="14"/>
                <w:szCs w:val="14"/>
              </w:rPr>
              <w:t xml:space="preserve">The Curiosity Thieves</w:t>
            </w:r>
          </w:p>
        </w:tc>
        <w:tc>
          <w:tcPr>
            <w:tcW w:type="dxa" w:w="18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English / Life Skills</w:t>
            </w:r>
          </w:p>
        </w:tc>
        <w:tc>
          <w:tcPr>
            <w:tcW w:type="dxa" w:w="18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NCERT English: reading for pleasure · NCF 2023: reading culture</w:t>
            </w:r>
          </w:p>
        </w:tc>
        <w:tc>
          <w:tcPr>
            <w:tcW w:type="dxa" w:w="34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Curiosity and book-reading habit directly reinforces NCF 2023 reading culture and NCERT English comprehension.</w:t>
            </w:r>
          </w:p>
        </w:tc>
      </w:tr>
      <w:tr>
        <w:tc>
          <w:tcPr>
            <w:tcW w:type="dxa" w:w="600"/>
            <w:tcBorders>
              <w:top w:val="single" w:color="CCCCCC" w:sz="2"/>
              <w:left w:val="single" w:color="CCCCCC" w:sz="2"/>
              <w:bottom w:val="single" w:color="CCCCCC" w:sz="2"/>
              <w:right w:val="single" w:color="CCCCCC" w:sz="2"/>
            </w:tcBorders>
            <w:shd w:fill="FFF5EA"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8B4500"/>
                <w:sz w:val="14"/>
                <w:szCs w:val="14"/>
              </w:rPr>
              <w:t xml:space="preserve">9</w:t>
            </w:r>
          </w:p>
        </w:tc>
        <w:tc>
          <w:tcPr>
            <w:tcW w:type="dxa" w:w="2800"/>
            <w:tcBorders>
              <w:top w:val="single" w:color="CCCCCC" w:sz="2"/>
              <w:left w:val="single" w:color="CCCCCC" w:sz="2"/>
              <w:bottom w:val="single" w:color="CCCCCC" w:sz="2"/>
              <w:right w:val="single" w:color="CCCCCC" w:sz="2"/>
            </w:tcBorders>
            <w:shd w:fill="FFF5EA"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1F3864"/>
                <w:sz w:val="14"/>
                <w:szCs w:val="14"/>
              </w:rPr>
              <w:t xml:space="preserve">Box Breathing</w:t>
            </w:r>
          </w:p>
        </w:tc>
        <w:tc>
          <w:tcPr>
            <w:tcW w:type="dxa" w:w="1800"/>
            <w:tcBorders>
              <w:top w:val="single" w:color="CCCCCC" w:sz="2"/>
              <w:left w:val="single" w:color="CCCCCC" w:sz="2"/>
              <w:bottom w:val="single" w:color="CCCCCC" w:sz="2"/>
              <w:right w:val="single" w:color="CCCCCC" w:sz="2"/>
            </w:tcBorders>
            <w:shd w:fill="FFF5EA"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Health and PE / Life Skills</w:t>
            </w:r>
          </w:p>
        </w:tc>
        <w:tc>
          <w:tcPr>
            <w:tcW w:type="dxa" w:w="1800"/>
            <w:tcBorders>
              <w:top w:val="single" w:color="CCCCCC" w:sz="2"/>
              <w:left w:val="single" w:color="CCCCCC" w:sz="2"/>
              <w:bottom w:val="single" w:color="CCCCCC" w:sz="2"/>
              <w:right w:val="single" w:color="CCCCCC" w:sz="2"/>
            </w:tcBorders>
            <w:shd w:fill="FFF5EA"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NCERT Health and PE: yoga and wellness · NEP: holistic development</w:t>
            </w:r>
          </w:p>
        </w:tc>
        <w:tc>
          <w:tcPr>
            <w:tcW w:type="dxa" w:w="3400"/>
            <w:tcBorders>
              <w:top w:val="single" w:color="CCCCCC" w:sz="2"/>
              <w:left w:val="single" w:color="CCCCCC" w:sz="2"/>
              <w:bottom w:val="single" w:color="CCCCCC" w:sz="2"/>
              <w:right w:val="single" w:color="CCCCCC" w:sz="2"/>
            </w:tcBorders>
            <w:shd w:fill="FFF5EA"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Box Breathing reinforces CBSE yoga and mental wellness objectives — particularly relevant for Indian school context.</w:t>
            </w:r>
          </w:p>
        </w:tc>
      </w:tr>
      <w:tr>
        <w:tc>
          <w:tcPr>
            <w:tcW w:type="dxa" w:w="6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8B4500"/>
                <w:sz w:val="14"/>
                <w:szCs w:val="14"/>
              </w:rPr>
              <w:t xml:space="preserve">11</w:t>
            </w:r>
          </w:p>
        </w:tc>
        <w:tc>
          <w:tcPr>
            <w:tcW w:type="dxa" w:w="28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1F3864"/>
                <w:sz w:val="14"/>
                <w:szCs w:val="14"/>
              </w:rPr>
              <w:t xml:space="preserve">Just Start</w:t>
            </w:r>
          </w:p>
        </w:tc>
        <w:tc>
          <w:tcPr>
            <w:tcW w:type="dxa" w:w="18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Science / Life Skills</w:t>
            </w:r>
          </w:p>
        </w:tc>
        <w:tc>
          <w:tcPr>
            <w:tcW w:type="dxa" w:w="18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NCERT Science Classes 5–8: inquiry · NEP: experiential learning</w:t>
            </w:r>
          </w:p>
        </w:tc>
        <w:tc>
          <w:tcPr>
            <w:tcW w:type="dxa" w:w="34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Experiment Log mirrors NCERT Science inquiry. NEP 2020 activity-based learning objectives directly addressed.</w:t>
            </w:r>
          </w:p>
        </w:tc>
      </w:tr>
      <w:tr>
        <w:tc>
          <w:tcPr>
            <w:tcW w:type="dxa" w:w="600"/>
            <w:tcBorders>
              <w:top w:val="single" w:color="CCCCCC" w:sz="2"/>
              <w:left w:val="single" w:color="CCCCCC" w:sz="2"/>
              <w:bottom w:val="single" w:color="CCCCCC" w:sz="2"/>
              <w:right w:val="single" w:color="CCCCCC" w:sz="2"/>
            </w:tcBorders>
            <w:shd w:fill="FFF5EA"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8B4500"/>
                <w:sz w:val="14"/>
                <w:szCs w:val="14"/>
              </w:rPr>
              <w:t xml:space="preserve">14</w:t>
            </w:r>
          </w:p>
        </w:tc>
        <w:tc>
          <w:tcPr>
            <w:tcW w:type="dxa" w:w="2800"/>
            <w:tcBorders>
              <w:top w:val="single" w:color="CCCCCC" w:sz="2"/>
              <w:left w:val="single" w:color="CCCCCC" w:sz="2"/>
              <w:bottom w:val="single" w:color="CCCCCC" w:sz="2"/>
              <w:right w:val="single" w:color="CCCCCC" w:sz="2"/>
            </w:tcBorders>
            <w:shd w:fill="FFF5EA"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1F3864"/>
                <w:sz w:val="14"/>
                <w:szCs w:val="14"/>
              </w:rPr>
              <w:t xml:space="preserve">What Is Money?</w:t>
            </w:r>
          </w:p>
        </w:tc>
        <w:tc>
          <w:tcPr>
            <w:tcW w:type="dxa" w:w="1800"/>
            <w:tcBorders>
              <w:top w:val="single" w:color="CCCCCC" w:sz="2"/>
              <w:left w:val="single" w:color="CCCCCC" w:sz="2"/>
              <w:bottom w:val="single" w:color="CCCCCC" w:sz="2"/>
              <w:right w:val="single" w:color="CCCCCC" w:sz="2"/>
            </w:tcBorders>
            <w:shd w:fill="FFF5EA"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Maths / Social Science</w:t>
            </w:r>
          </w:p>
        </w:tc>
        <w:tc>
          <w:tcPr>
            <w:tcW w:type="dxa" w:w="1800"/>
            <w:tcBorders>
              <w:top w:val="single" w:color="CCCCCC" w:sz="2"/>
              <w:left w:val="single" w:color="CCCCCC" w:sz="2"/>
              <w:bottom w:val="single" w:color="CCCCCC" w:sz="2"/>
              <w:right w:val="single" w:color="CCCCCC" w:sz="2"/>
            </w:tcBorders>
            <w:shd w:fill="FFF5EA"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NCERT Maths Classes 6–7: % · Social Science: economics · NEP: financial literacy</w:t>
            </w:r>
          </w:p>
        </w:tc>
        <w:tc>
          <w:tcPr>
            <w:tcW w:type="dxa" w:w="3400"/>
            <w:tcBorders>
              <w:top w:val="single" w:color="CCCCCC" w:sz="2"/>
              <w:left w:val="single" w:color="CCCCCC" w:sz="2"/>
              <w:bottom w:val="single" w:color="CCCCCC" w:sz="2"/>
              <w:right w:val="single" w:color="CCCCCC" w:sz="2"/>
            </w:tcBorders>
            <w:shd w:fill="FFF5EA"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Four Jars applies Class 6–7 percentage in authentic financial context. NEP financial literacy competency directly addressed.</w:t>
            </w:r>
          </w:p>
        </w:tc>
      </w:tr>
      <w:tr>
        <w:tc>
          <w:tcPr>
            <w:tcW w:type="dxa" w:w="6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8B4500"/>
                <w:sz w:val="14"/>
                <w:szCs w:val="14"/>
              </w:rPr>
              <w:t xml:space="preserve">15</w:t>
            </w:r>
          </w:p>
        </w:tc>
        <w:tc>
          <w:tcPr>
            <w:tcW w:type="dxa" w:w="28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1F3864"/>
                <w:sz w:val="14"/>
                <w:szCs w:val="14"/>
              </w:rPr>
              <w:t xml:space="preserve">First Business</w:t>
            </w:r>
          </w:p>
        </w:tc>
        <w:tc>
          <w:tcPr>
            <w:tcW w:type="dxa" w:w="18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Maths / Vocational</w:t>
            </w:r>
          </w:p>
        </w:tc>
        <w:tc>
          <w:tcPr>
            <w:tcW w:type="dxa" w:w="18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NCERT Maths: ratio · Vocational Education: entrepreneurship · NEP: skill education</w:t>
            </w:r>
          </w:p>
        </w:tc>
        <w:tc>
          <w:tcPr>
            <w:tcW w:type="dxa" w:w="34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Micro-Business Plan integrates NCERT ratio, vocational entrepreneurship, and NEP skill education objectives.</w:t>
            </w:r>
          </w:p>
        </w:tc>
      </w:tr>
      <w:tr>
        <w:tc>
          <w:tcPr>
            <w:tcW w:type="dxa" w:w="600"/>
            <w:tcBorders>
              <w:top w:val="single" w:color="CCCCCC" w:sz="2"/>
              <w:left w:val="single" w:color="CCCCCC" w:sz="2"/>
              <w:bottom w:val="single" w:color="CCCCCC" w:sz="2"/>
              <w:right w:val="single" w:color="CCCCCC" w:sz="2"/>
            </w:tcBorders>
            <w:shd w:fill="FFF5EA"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8B4500"/>
                <w:sz w:val="14"/>
                <w:szCs w:val="14"/>
              </w:rPr>
              <w:t xml:space="preserve">18</w:t>
            </w:r>
          </w:p>
        </w:tc>
        <w:tc>
          <w:tcPr>
            <w:tcW w:type="dxa" w:w="2800"/>
            <w:tcBorders>
              <w:top w:val="single" w:color="CCCCCC" w:sz="2"/>
              <w:left w:val="single" w:color="CCCCCC" w:sz="2"/>
              <w:bottom w:val="single" w:color="CCCCCC" w:sz="2"/>
              <w:right w:val="single" w:color="CCCCCC" w:sz="2"/>
            </w:tcBorders>
            <w:shd w:fill="FFF5EA"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1F3864"/>
                <w:sz w:val="14"/>
                <w:szCs w:val="14"/>
              </w:rPr>
              <w:t xml:space="preserve">Three Questions</w:t>
            </w:r>
          </w:p>
        </w:tc>
        <w:tc>
          <w:tcPr>
            <w:tcW w:type="dxa" w:w="1800"/>
            <w:tcBorders>
              <w:top w:val="single" w:color="CCCCCC" w:sz="2"/>
              <w:left w:val="single" w:color="CCCCCC" w:sz="2"/>
              <w:bottom w:val="single" w:color="CCCCCC" w:sz="2"/>
              <w:right w:val="single" w:color="CCCCCC" w:sz="2"/>
            </w:tcBorders>
            <w:shd w:fill="FFF5EA"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Maths / English</w:t>
            </w:r>
          </w:p>
        </w:tc>
        <w:tc>
          <w:tcPr>
            <w:tcW w:type="dxa" w:w="1800"/>
            <w:tcBorders>
              <w:top w:val="single" w:color="CCCCCC" w:sz="2"/>
              <w:left w:val="single" w:color="CCCCCC" w:sz="2"/>
              <w:bottom w:val="single" w:color="CCCCCC" w:sz="2"/>
              <w:right w:val="single" w:color="CCCCCC" w:sz="2"/>
            </w:tcBorders>
            <w:shd w:fill="FFF5EA"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NCERT Maths: reasoning · English Classes 6–8: analytical writing</w:t>
            </w:r>
          </w:p>
        </w:tc>
        <w:tc>
          <w:tcPr>
            <w:tcW w:type="dxa" w:w="3400"/>
            <w:tcBorders>
              <w:top w:val="single" w:color="CCCCCC" w:sz="2"/>
              <w:left w:val="single" w:color="CCCCCC" w:sz="2"/>
              <w:bottom w:val="single" w:color="CCCCCC" w:sz="2"/>
              <w:right w:val="single" w:color="CCCCCC" w:sz="2"/>
            </w:tcBorders>
            <w:shd w:fill="FFF5EA"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Three Questions reinforces NCERT mathematical reasoning and analytical writing objectives.</w:t>
            </w:r>
          </w:p>
        </w:tc>
      </w:tr>
      <w:tr>
        <w:tc>
          <w:tcPr>
            <w:tcW w:type="dxa" w:w="6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8B4500"/>
                <w:sz w:val="14"/>
                <w:szCs w:val="14"/>
              </w:rPr>
              <w:t xml:space="preserve">23</w:t>
            </w:r>
          </w:p>
        </w:tc>
        <w:tc>
          <w:tcPr>
            <w:tcW w:type="dxa" w:w="28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1F3864"/>
                <w:sz w:val="14"/>
                <w:szCs w:val="14"/>
              </w:rPr>
              <w:t xml:space="preserve">Time Audit</w:t>
            </w:r>
          </w:p>
        </w:tc>
        <w:tc>
          <w:tcPr>
            <w:tcW w:type="dxa" w:w="18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Maths / Life Skills</w:t>
            </w:r>
          </w:p>
        </w:tc>
        <w:tc>
          <w:tcPr>
            <w:tcW w:type="dxa" w:w="18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NCERT Maths: data handling · Life Skills: self-management</w:t>
            </w:r>
          </w:p>
        </w:tc>
        <w:tc>
          <w:tcPr>
            <w:tcW w:type="dxa" w:w="34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Time Audit applies NCERT data handling in authentic self-management context.</w:t>
            </w:r>
          </w:p>
        </w:tc>
      </w:tr>
      <w:tr>
        <w:tc>
          <w:tcPr>
            <w:tcW w:type="dxa" w:w="600"/>
            <w:tcBorders>
              <w:top w:val="single" w:color="CCCCCC" w:sz="2"/>
              <w:left w:val="single" w:color="CCCCCC" w:sz="2"/>
              <w:bottom w:val="single" w:color="CCCCCC" w:sz="2"/>
              <w:right w:val="single" w:color="CCCCCC" w:sz="2"/>
            </w:tcBorders>
            <w:shd w:fill="FFF5EA"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8B4500"/>
                <w:sz w:val="14"/>
                <w:szCs w:val="14"/>
              </w:rPr>
              <w:t xml:space="preserve">27</w:t>
            </w:r>
          </w:p>
        </w:tc>
        <w:tc>
          <w:tcPr>
            <w:tcW w:type="dxa" w:w="2800"/>
            <w:tcBorders>
              <w:top w:val="single" w:color="CCCCCC" w:sz="2"/>
              <w:left w:val="single" w:color="CCCCCC" w:sz="2"/>
              <w:bottom w:val="single" w:color="CCCCCC" w:sz="2"/>
              <w:right w:val="single" w:color="CCCCCC" w:sz="2"/>
            </w:tcBorders>
            <w:shd w:fill="FFF5EA"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1F3864"/>
                <w:sz w:val="14"/>
                <w:szCs w:val="14"/>
              </w:rPr>
              <w:t xml:space="preserve">The Pitch</w:t>
            </w:r>
          </w:p>
        </w:tc>
        <w:tc>
          <w:tcPr>
            <w:tcW w:type="dxa" w:w="1800"/>
            <w:tcBorders>
              <w:top w:val="single" w:color="CCCCCC" w:sz="2"/>
              <w:left w:val="single" w:color="CCCCCC" w:sz="2"/>
              <w:bottom w:val="single" w:color="CCCCCC" w:sz="2"/>
              <w:right w:val="single" w:color="CCCCCC" w:sz="2"/>
            </w:tcBorders>
            <w:shd w:fill="FFF5EA"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English / Life Skills</w:t>
            </w:r>
          </w:p>
        </w:tc>
        <w:tc>
          <w:tcPr>
            <w:tcW w:type="dxa" w:w="1800"/>
            <w:tcBorders>
              <w:top w:val="single" w:color="CCCCCC" w:sz="2"/>
              <w:left w:val="single" w:color="CCCCCC" w:sz="2"/>
              <w:bottom w:val="single" w:color="CCCCCC" w:sz="2"/>
              <w:right w:val="single" w:color="CCCCCC" w:sz="2"/>
            </w:tcBorders>
            <w:shd w:fill="FFF5EA"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NCERT English: speaking · Life Skills: communication</w:t>
            </w:r>
          </w:p>
        </w:tc>
        <w:tc>
          <w:tcPr>
            <w:tcW w:type="dxa" w:w="3400"/>
            <w:tcBorders>
              <w:top w:val="single" w:color="CCCCCC" w:sz="2"/>
              <w:left w:val="single" w:color="CCCCCC" w:sz="2"/>
              <w:bottom w:val="single" w:color="CCCCCC" w:sz="2"/>
              <w:right w:val="single" w:color="CCCCCC" w:sz="2"/>
            </w:tcBorders>
            <w:shd w:fill="FFF5EA"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Five-Part Pitch reinforces NCERT English speaking and Life Skills effective communication.</w:t>
            </w:r>
          </w:p>
        </w:tc>
      </w:tr>
      <w:tr>
        <w:tc>
          <w:tcPr>
            <w:tcW w:type="dxa" w:w="6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8B4500"/>
                <w:sz w:val="14"/>
                <w:szCs w:val="14"/>
              </w:rPr>
              <w:t xml:space="preserve">29</w:t>
            </w:r>
          </w:p>
        </w:tc>
        <w:tc>
          <w:tcPr>
            <w:tcW w:type="dxa" w:w="28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1F3864"/>
                <w:sz w:val="14"/>
                <w:szCs w:val="14"/>
              </w:rPr>
              <w:t xml:space="preserve">Business Story</w:t>
            </w:r>
          </w:p>
        </w:tc>
        <w:tc>
          <w:tcPr>
            <w:tcW w:type="dxa" w:w="18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English</w:t>
            </w:r>
          </w:p>
        </w:tc>
        <w:tc>
          <w:tcPr>
            <w:tcW w:type="dxa" w:w="18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NCERT English Classes 6–8: narrative writing · Class 9–10: creative writing</w:t>
            </w:r>
          </w:p>
        </w:tc>
        <w:tc>
          <w:tcPr>
            <w:tcW w:type="dxa" w:w="34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Business Story reinforces NCERT narrative writing objectives across Classes 6–10.</w:t>
            </w:r>
          </w:p>
        </w:tc>
      </w:tr>
      <w:tr>
        <w:tc>
          <w:tcPr>
            <w:tcW w:type="dxa" w:w="600"/>
            <w:tcBorders>
              <w:top w:val="single" w:color="CCCCCC" w:sz="2"/>
              <w:left w:val="single" w:color="CCCCCC" w:sz="2"/>
              <w:bottom w:val="single" w:color="CCCCCC" w:sz="2"/>
              <w:right w:val="single" w:color="CCCCCC" w:sz="2"/>
            </w:tcBorders>
            <w:shd w:fill="FFF5EA"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8B4500"/>
                <w:sz w:val="14"/>
                <w:szCs w:val="14"/>
              </w:rPr>
              <w:t xml:space="preserve">35</w:t>
            </w:r>
          </w:p>
        </w:tc>
        <w:tc>
          <w:tcPr>
            <w:tcW w:type="dxa" w:w="2800"/>
            <w:tcBorders>
              <w:top w:val="single" w:color="CCCCCC" w:sz="2"/>
              <w:left w:val="single" w:color="CCCCCC" w:sz="2"/>
              <w:bottom w:val="single" w:color="CCCCCC" w:sz="2"/>
              <w:right w:val="single" w:color="CCCCCC" w:sz="2"/>
            </w:tcBorders>
            <w:shd w:fill="FFF5EA"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1F3864"/>
                <w:sz w:val="14"/>
                <w:szCs w:val="14"/>
              </w:rPr>
              <w:t xml:space="preserve">Idea Collision</w:t>
            </w:r>
          </w:p>
        </w:tc>
        <w:tc>
          <w:tcPr>
            <w:tcW w:type="dxa" w:w="1800"/>
            <w:tcBorders>
              <w:top w:val="single" w:color="CCCCCC" w:sz="2"/>
              <w:left w:val="single" w:color="CCCCCC" w:sz="2"/>
              <w:bottom w:val="single" w:color="CCCCCC" w:sz="2"/>
              <w:right w:val="single" w:color="CCCCCC" w:sz="2"/>
            </w:tcBorders>
            <w:shd w:fill="FFF5EA"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Art Education / Life Skills</w:t>
            </w:r>
          </w:p>
        </w:tc>
        <w:tc>
          <w:tcPr>
            <w:tcW w:type="dxa" w:w="1800"/>
            <w:tcBorders>
              <w:top w:val="single" w:color="CCCCCC" w:sz="2"/>
              <w:left w:val="single" w:color="CCCCCC" w:sz="2"/>
              <w:bottom w:val="single" w:color="CCCCCC" w:sz="2"/>
              <w:right w:val="single" w:color="CCCCCC" w:sz="2"/>
            </w:tcBorders>
            <w:shd w:fill="FFF5EA"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Art Education: creativity · NEP: creative thinking · Life Skills: innovation</w:t>
            </w:r>
          </w:p>
        </w:tc>
        <w:tc>
          <w:tcPr>
            <w:tcW w:type="dxa" w:w="3400"/>
            <w:tcBorders>
              <w:top w:val="single" w:color="CCCCCC" w:sz="2"/>
              <w:left w:val="single" w:color="CCCCCC" w:sz="2"/>
              <w:bottom w:val="single" w:color="CCCCCC" w:sz="2"/>
              <w:right w:val="single" w:color="CCCCCC" w:sz="2"/>
            </w:tcBorders>
            <w:shd w:fill="FFF5EA"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Idea generation reinforces Art Education creativity objectives and NEP creative thinking competency.</w:t>
            </w:r>
          </w:p>
        </w:tc>
      </w:tr>
      <w:tr>
        <w:tc>
          <w:tcPr>
            <w:tcW w:type="dxa" w:w="6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8B4500"/>
                <w:sz w:val="14"/>
                <w:szCs w:val="14"/>
              </w:rPr>
              <w:t xml:space="preserve">40</w:t>
            </w:r>
          </w:p>
        </w:tc>
        <w:tc>
          <w:tcPr>
            <w:tcW w:type="dxa" w:w="28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1F3864"/>
                <w:sz w:val="14"/>
                <w:szCs w:val="14"/>
              </w:rPr>
              <w:t xml:space="preserve">The Mentor</w:t>
            </w:r>
          </w:p>
        </w:tc>
        <w:tc>
          <w:tcPr>
            <w:tcW w:type="dxa" w:w="18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Life Skills / Social Science</w:t>
            </w:r>
          </w:p>
        </w:tc>
        <w:tc>
          <w:tcPr>
            <w:tcW w:type="dxa" w:w="18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Life Skills: leadership · Social Science: community and society</w:t>
            </w:r>
          </w:p>
        </w:tc>
        <w:tc>
          <w:tcPr>
            <w:tcW w:type="dxa" w:w="34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Mentor Map reinforces Life Skills leadership and Social Science community participation objectives.</w:t>
            </w:r>
          </w:p>
        </w:tc>
      </w:tr>
      <w:tr>
        <w:tc>
          <w:tcPr>
            <w:tcW w:type="dxa" w:w="600"/>
            <w:tcBorders>
              <w:top w:val="single" w:color="CCCCCC" w:sz="2"/>
              <w:left w:val="single" w:color="CCCCCC" w:sz="2"/>
              <w:bottom w:val="single" w:color="CCCCCC" w:sz="2"/>
              <w:right w:val="single" w:color="CCCCCC" w:sz="2"/>
            </w:tcBorders>
            <w:shd w:fill="FFF5EA"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8B4500"/>
                <w:sz w:val="14"/>
                <w:szCs w:val="14"/>
              </w:rPr>
              <w:t xml:space="preserve">48</w:t>
            </w:r>
          </w:p>
        </w:tc>
        <w:tc>
          <w:tcPr>
            <w:tcW w:type="dxa" w:w="2800"/>
            <w:tcBorders>
              <w:top w:val="single" w:color="CCCCCC" w:sz="2"/>
              <w:left w:val="single" w:color="CCCCCC" w:sz="2"/>
              <w:bottom w:val="single" w:color="CCCCCC" w:sz="2"/>
              <w:right w:val="single" w:color="CCCCCC" w:sz="2"/>
            </w:tcBorders>
            <w:shd w:fill="FFF5EA"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1F3864"/>
                <w:sz w:val="14"/>
                <w:szCs w:val="14"/>
              </w:rPr>
              <w:t xml:space="preserve">Integrity Check</w:t>
            </w:r>
          </w:p>
        </w:tc>
        <w:tc>
          <w:tcPr>
            <w:tcW w:type="dxa" w:w="1800"/>
            <w:tcBorders>
              <w:top w:val="single" w:color="CCCCCC" w:sz="2"/>
              <w:left w:val="single" w:color="CCCCCC" w:sz="2"/>
              <w:bottom w:val="single" w:color="CCCCCC" w:sz="2"/>
              <w:right w:val="single" w:color="CCCCCC" w:sz="2"/>
            </w:tcBorders>
            <w:shd w:fill="FFF5EA"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Social Science / Life Skills</w:t>
            </w:r>
          </w:p>
        </w:tc>
        <w:tc>
          <w:tcPr>
            <w:tcW w:type="dxa" w:w="1800"/>
            <w:tcBorders>
              <w:top w:val="single" w:color="CCCCCC" w:sz="2"/>
              <w:left w:val="single" w:color="CCCCCC" w:sz="2"/>
              <w:bottom w:val="single" w:color="CCCCCC" w:sz="2"/>
              <w:right w:val="single" w:color="CCCCCC" w:sz="2"/>
            </w:tcBorders>
            <w:shd w:fill="FFF5EA"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Social Science Classes 9–10: constitutional values · Life Skills: values</w:t>
            </w:r>
          </w:p>
        </w:tc>
        <w:tc>
          <w:tcPr>
            <w:tcW w:type="dxa" w:w="3400"/>
            <w:tcBorders>
              <w:top w:val="single" w:color="CCCCCC" w:sz="2"/>
              <w:left w:val="single" w:color="CCCCCC" w:sz="2"/>
              <w:bottom w:val="single" w:color="CCCCCC" w:sz="2"/>
              <w:right w:val="single" w:color="CCCCCC" w:sz="2"/>
            </w:tcBorders>
            <w:shd w:fill="FFF5EA"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Integrity Check reinforces constitutional values — core to CBSE — and Life Skills ethical decision-making.</w:t>
            </w:r>
          </w:p>
        </w:tc>
      </w:tr>
      <w:tr>
        <w:tc>
          <w:tcPr>
            <w:tcW w:type="dxa" w:w="6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bCs/>
                <w:i w:val="false"/>
                <w:iCs w:val="false"/>
                <w:color w:val="8B4500"/>
                <w:sz w:val="14"/>
                <w:szCs w:val="14"/>
              </w:rPr>
              <w:t xml:space="preserve">52</w:t>
            </w:r>
          </w:p>
        </w:tc>
        <w:tc>
          <w:tcPr>
            <w:tcW w:type="dxa" w:w="28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val="false"/>
                <w:iCs w:val="false"/>
                <w:color w:val="1F3864"/>
                <w:sz w:val="14"/>
                <w:szCs w:val="14"/>
              </w:rPr>
              <w:t xml:space="preserve">Year-End Review</w:t>
            </w:r>
          </w:p>
        </w:tc>
        <w:tc>
          <w:tcPr>
            <w:tcW w:type="dxa" w:w="18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English / Life Skills</w:t>
            </w:r>
          </w:p>
        </w:tc>
        <w:tc>
          <w:tcPr>
            <w:tcW w:type="dxa" w:w="18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NCERT English: extended writing · Life Skills: all competencies</w:t>
            </w:r>
          </w:p>
        </w:tc>
        <w:tc>
          <w:tcPr>
            <w:tcW w:type="dxa" w:w="3400"/>
            <w:tcBorders>
              <w:top w:val="single" w:color="CCCCCC" w:sz="2"/>
              <w:left w:val="single" w:color="CCCCCC" w:sz="2"/>
              <w:bottom w:val="single" w:color="CCCCCC" w:sz="2"/>
              <w:right w:val="single" w:color="CCCCCC" w:sz="2"/>
            </w:tcBorders>
            <w:shd w:fill="FFFFFF" w:val="clear"/>
            <w:tcMar>
              <w:top w:type="dxa" w:w="75"/>
              <w:left w:type="dxa" w:w="100"/>
              <w:bottom w:type="dxa" w:w="75"/>
              <w:right w:type="dxa" w:w="100"/>
            </w:tcMar>
          </w:tcPr>
          <w:p>
            <w:pPr>
              <w:spacing w:after="45" w:before="0" w:line="255" w:lineRule="auto"/>
            </w:pPr>
            <w:r>
              <w:rPr>
                <w:rFonts w:ascii="Arial" w:cs="Arial" w:eastAsia="Arial" w:hAnsi="Arial"/>
                <w:b w:val="false"/>
                <w:bCs w:val="false"/>
                <w:i/>
                <w:iCs/>
                <w:color w:val="444444"/>
                <w:sz w:val="14"/>
                <w:szCs w:val="14"/>
              </w:rPr>
              <w:t xml:space="preserve">Year-End integrates NCERT writing and all Life Skills competencies — suitable as Class 10 portfolio evidence.</w:t>
            </w:r>
          </w:p>
        </w:tc>
      </w:tr>
    </w:tbl>
    <w:p>
      <w:pPr>
        <w:spacing w:after="360" w:before="0"/>
      </w:pPr>
    </w:p>
    <w:p>
      <w:r>
        <w:br w:type="page"/>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10080"/>
            <w:tcBorders>
              <w:top w:val="none"/>
              <w:left w:val="none"/>
              <w:bottom w:val="none"/>
              <w:right w:val="none"/>
            </w:tcBorders>
            <w:shd w:fill="8B4500" w:val="clear"/>
            <w:tcMar>
              <w:top w:type="dxa" w:w="160"/>
              <w:left w:type="dxa" w:w="240"/>
              <w:bottom w:type="dxa" w:w="80"/>
              <w:right w:type="dxa" w:w="240"/>
            </w:tcMar>
          </w:tcPr>
          <w:p>
            <w:pPr>
              <w:jc w:val="center"/>
            </w:pPr>
            <w:r>
              <w:rPr>
                <w:rFonts w:ascii="Arial" w:cs="Arial" w:eastAsia="Arial" w:hAnsi="Arial"/>
                <w:b/>
                <w:bCs/>
                <w:color w:val="FFFFFF"/>
                <w:sz w:val="20"/>
                <w:szCs w:val="20"/>
              </w:rPr>
              <w:t xml:space="preserve">SECTION 3: IMPLEMENTATION FOR SCHOOLS</w:t>
            </w:r>
          </w:p>
        </w:tc>
      </w:tr>
      <w:tr>
        <w:tc>
          <w:tcPr>
            <w:tcW w:type="dxa" w:w="10080"/>
            <w:tcBorders>
              <w:top w:val="none"/>
              <w:left w:val="none"/>
              <w:bottom w:val="none"/>
              <w:right w:val="none"/>
            </w:tcBorders>
            <w:shd w:fill="8B4500" w:val="clear"/>
            <w:tcMar>
              <w:top w:type="dxa" w:w="0"/>
              <w:left w:type="dxa" w:w="240"/>
              <w:bottom w:type="dxa" w:w="130"/>
              <w:right w:type="dxa" w:w="240"/>
            </w:tcMar>
          </w:tcPr>
          <w:p>
            <w:pPr>
              <w:jc w:val="center"/>
            </w:pPr>
            <w:r>
              <w:rPr>
                <w:rFonts w:ascii="Arial" w:cs="Arial" w:eastAsia="Arial" w:hAnsi="Arial"/>
                <w:color w:val="AABBCC"/>
                <w:sz w:val="17"/>
                <w:szCs w:val="17"/>
              </w:rPr>
              <w:t xml:space="preserve">Three models · Classroom integration · Family engagement</w:t>
            </w:r>
          </w:p>
        </w:tc>
      </w:tr>
    </w:tbl>
    <w:p>
      <w:pPr>
        <w:spacing w:after="280" w:before="0"/>
      </w:pPr>
    </w:p>
    <w:p>
      <w:pPr>
        <w:spacing w:after="150" w:before="0" w:line="280" w:lineRule="auto"/>
        <w:jc w:val="both"/>
      </w:pPr>
      <w:r>
        <w:rPr>
          <w:rFonts w:ascii="Arial" w:cs="Arial" w:eastAsia="Arial" w:hAnsi="Arial"/>
          <w:b w:val="false"/>
          <w:bCs w:val="false"/>
          <w:i w:val="false"/>
          <w:iCs w:val="false"/>
          <w:color w:val="444444"/>
          <w:sz w:val="19"/>
          <w:szCs w:val="19"/>
        </w:rPr>
        <w:t xml:space="preserve">For CBSE-affiliated schools in India and internationally, this programme is particularly valuable as a family engagement complement to NEP 2020 implementation. NEP 2020 explicitly calls for holistic development, financial literacy, vocational skills, and 21st century competencies — all of which are directly addressed by the programme. School counsellors, Life Skills coordinators, and Class teachers are natural implementation leads.</w:t>
      </w:r>
    </w:p>
    <w:p>
      <w:pPr>
        <w:spacing w:after="200" w:before="0"/>
      </w:pP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10080"/>
            <w:tcBorders>
              <w:top w:val="none"/>
              <w:left w:val="none"/>
              <w:bottom w:val="none"/>
              <w:right w:val="none"/>
            </w:tcBorders>
            <w:shd w:fill="8B4500" w:val="clear"/>
            <w:tcMar>
              <w:top w:type="dxa" w:w="100"/>
              <w:left w:type="dxa" w:w="180"/>
              <w:bottom w:type="dxa" w:w="100"/>
              <w:right w:type="dxa" w:w="180"/>
            </w:tcMar>
          </w:tcPr>
          <w:p>
            <w:r>
              <w:rPr>
                <w:rFonts w:ascii="Arial" w:cs="Arial" w:eastAsia="Arial" w:hAnsi="Arial"/>
                <w:b/>
                <w:bCs/>
                <w:color w:val="FFFFFF"/>
                <w:sz w:val="18"/>
                <w:szCs w:val="18"/>
              </w:rPr>
              <w:t xml:space="preserve">Model 1 — Family Engagement (Recommended Starting Point)</w:t>
            </w:r>
          </w:p>
        </w:tc>
      </w:tr>
    </w:tbl>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10080"/>
            <w:tcBorders>
              <w:top w:val="none"/>
              <w:left w:val="single" w:color="8B4500" w:sz="12"/>
              <w:bottom w:val="single" w:color="DDDDDD" w:sz="2"/>
              <w:right w:val="none"/>
            </w:tcBorders>
            <w:shd w:fill="FFF5EA" w:val="clear"/>
            <w:tcMar>
              <w:top w:type="dxa" w:w="110"/>
              <w:left w:type="dxa" w:w="200"/>
              <w:bottom w:type="dxa" w:w="110"/>
              <w:right w:type="dxa" w:w="180"/>
            </w:tcMar>
          </w:tcPr>
          <w:p>
            <w:pPr>
              <w:spacing w:after="80" w:before="0" w:line="270" w:lineRule="auto"/>
            </w:pPr>
            <w:r>
              <w:rPr>
                <w:rFonts w:ascii="Arial" w:cs="Arial" w:eastAsia="Arial" w:hAnsi="Arial"/>
                <w:color w:val="444444"/>
                <w:sz w:val="18"/>
                <w:szCs w:val="18"/>
              </w:rPr>
              <w:t xml:space="preserve">The school recommends the programme to families through newsletters or parent communications. No administration required. Zero cost. The school may provide the curriculum alignment document to parents to show how the home programme reinforces classroom learning.</w:t>
            </w:r>
          </w:p>
          <w:p>
            <w:pPr>
              <w:spacing w:after="0" w:before="0"/>
            </w:pPr>
            <w:r>
              <w:rPr>
                <w:rFonts w:ascii="Arial" w:cs="Arial" w:eastAsia="Arial" w:hAnsi="Arial"/>
                <w:color w:val="8B4500"/>
                <w:sz w:val="15"/>
                <w:szCs w:val="15"/>
              </w:rPr>
              <w:t xml:space="preserve">IMPLEMENTATION: Zero admin · Zero cost · Implement this week</w:t>
            </w:r>
          </w:p>
        </w:tc>
      </w:tr>
    </w:tbl>
    <w:p>
      <w:pPr>
        <w:spacing w:after="200" w:before="0"/>
      </w:pP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10080"/>
            <w:tcBorders>
              <w:top w:val="none"/>
              <w:left w:val="none"/>
              <w:bottom w:val="none"/>
              <w:right w:val="none"/>
            </w:tcBorders>
            <w:shd w:fill="8B4500" w:val="clear"/>
            <w:tcMar>
              <w:top w:type="dxa" w:w="100"/>
              <w:left w:type="dxa" w:w="180"/>
              <w:bottom w:type="dxa" w:w="100"/>
              <w:right w:type="dxa" w:w="180"/>
            </w:tcMar>
          </w:tcPr>
          <w:p>
            <w:r>
              <w:rPr>
                <w:rFonts w:ascii="Arial" w:cs="Arial" w:eastAsia="Arial" w:hAnsi="Arial"/>
                <w:b/>
                <w:bCs/>
                <w:color w:val="FFFFFF"/>
                <w:sz w:val="18"/>
                <w:szCs w:val="18"/>
              </w:rPr>
              <w:t xml:space="preserve">Model 2 — Classroom or Homeroom Integration</w:t>
            </w:r>
          </w:p>
        </w:tc>
      </w:tr>
    </w:tbl>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10080"/>
            <w:tcBorders>
              <w:top w:val="none"/>
              <w:left w:val="single" w:color="8B4500" w:sz="12"/>
              <w:bottom w:val="single" w:color="DDDDDD" w:sz="2"/>
              <w:right w:val="none"/>
            </w:tcBorders>
            <w:shd w:fill="FFF5EA" w:val="clear"/>
            <w:tcMar>
              <w:top w:type="dxa" w:w="110"/>
              <w:left w:type="dxa" w:w="200"/>
              <w:bottom w:type="dxa" w:w="110"/>
              <w:right w:type="dxa" w:w="180"/>
            </w:tcMar>
          </w:tcPr>
          <w:p>
            <w:pPr>
              <w:spacing w:after="80" w:before="0" w:line="270" w:lineRule="auto"/>
            </w:pPr>
            <w:r>
              <w:rPr>
                <w:rFonts w:ascii="Arial" w:cs="Arial" w:eastAsia="Arial" w:hAnsi="Arial"/>
                <w:color w:val="444444"/>
                <w:sz w:val="18"/>
                <w:szCs w:val="18"/>
              </w:rPr>
              <w:t xml:space="preserve">Teacher shows the 60-second animated episode (#UdyamMe_EntrepreneurialChild) weekly and facilitates a brief discussion connecting it to the current unit or topic. Students maintain Idea Notebooks as a reflection journal. 15 minutes per week.</w:t>
            </w:r>
          </w:p>
          <w:p>
            <w:pPr>
              <w:spacing w:after="0" w:before="0"/>
            </w:pPr>
            <w:r>
              <w:rPr>
                <w:rFonts w:ascii="Arial" w:cs="Arial" w:eastAsia="Arial" w:hAnsi="Arial"/>
                <w:color w:val="8B4500"/>
                <w:sz w:val="15"/>
                <w:szCs w:val="15"/>
              </w:rPr>
              <w:t xml:space="preserve">IMPLEMENTATION: 15 min/week · Minimal preparation · Curriculum coordinator oversight</w:t>
            </w:r>
          </w:p>
        </w:tc>
      </w:tr>
    </w:tbl>
    <w:p>
      <w:pPr>
        <w:spacing w:after="200" w:before="0"/>
      </w:pP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10080"/>
            <w:tcBorders>
              <w:top w:val="none"/>
              <w:left w:val="none"/>
              <w:bottom w:val="none"/>
              <w:right w:val="none"/>
            </w:tcBorders>
            <w:shd w:fill="8B4500" w:val="clear"/>
            <w:tcMar>
              <w:top w:type="dxa" w:w="100"/>
              <w:left w:type="dxa" w:w="180"/>
              <w:bottom w:type="dxa" w:w="100"/>
              <w:right w:type="dxa" w:w="180"/>
            </w:tcMar>
          </w:tcPr>
          <w:p>
            <w:r>
              <w:rPr>
                <w:rFonts w:ascii="Arial" w:cs="Arial" w:eastAsia="Arial" w:hAnsi="Arial"/>
                <w:b/>
                <w:bCs/>
                <w:color w:val="FFFFFF"/>
                <w:sz w:val="18"/>
                <w:szCs w:val="18"/>
              </w:rPr>
              <w:t xml:space="preserve">Model 3 — Formal Co-curricular or Cross-curricular Strand</w:t>
            </w:r>
          </w:p>
        </w:tc>
      </w:tr>
    </w:tbl>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10080"/>
            <w:tcBorders>
              <w:top w:val="none"/>
              <w:left w:val="single" w:color="8B4500" w:sz="12"/>
              <w:bottom w:val="single" w:color="DDDDDD" w:sz="2"/>
              <w:right w:val="none"/>
            </w:tcBorders>
            <w:shd w:fill="FFF5EA" w:val="clear"/>
            <w:tcMar>
              <w:top w:type="dxa" w:w="110"/>
              <w:left w:type="dxa" w:w="200"/>
              <w:bottom w:type="dxa" w:w="110"/>
              <w:right w:type="dxa" w:w="180"/>
            </w:tcMar>
          </w:tcPr>
          <w:p>
            <w:pPr>
              <w:spacing w:after="80" w:before="0" w:line="270" w:lineRule="auto"/>
            </w:pPr>
            <w:r>
              <w:rPr>
                <w:rFonts w:ascii="Arial" w:cs="Arial" w:eastAsia="Arial" w:hAnsi="Arial"/>
                <w:color w:val="444444"/>
                <w:sz w:val="18"/>
                <w:szCs w:val="18"/>
              </w:rPr>
              <w:t xml:space="preserve">The programme is embedded with explicit curriculum references. Idea Notebooks serve as assessment portfolios. Phase Reviews (Weeks 13, 26, 39, 52) align to assessment milestones. The Year-End Review functions as a personal project or extended response.</w:t>
            </w:r>
          </w:p>
          <w:p>
            <w:pPr>
              <w:spacing w:after="0" w:before="0"/>
            </w:pPr>
            <w:r>
              <w:rPr>
                <w:rFonts w:ascii="Arial" w:cs="Arial" w:eastAsia="Arial" w:hAnsi="Arial"/>
                <w:color w:val="8B4500"/>
                <w:sz w:val="15"/>
                <w:szCs w:val="15"/>
              </w:rPr>
              <w:t xml:space="preserve">IMPLEMENTATION: Full integration · Portfolio evidence · Cross-subject coordination</w:t>
            </w:r>
          </w:p>
        </w:tc>
      </w:tr>
    </w:tbl>
    <w:p>
      <w:pPr>
        <w:spacing w:after="200" w:before="0"/>
      </w:pPr>
    </w:p>
    <w:p>
      <w:pPr>
        <w:spacing w:after="160" w:before="0"/>
      </w:pPr>
    </w:p>
    <w:p>
      <w:r>
        <w:br w:type="page"/>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10080"/>
            <w:tcBorders>
              <w:top w:val="none"/>
              <w:left w:val="none"/>
              <w:bottom w:val="none"/>
              <w:right w:val="none"/>
            </w:tcBorders>
            <w:shd w:fill="8B4500" w:val="clear"/>
            <w:tcMar>
              <w:top w:type="dxa" w:w="160"/>
              <w:left w:type="dxa" w:w="240"/>
              <w:bottom w:type="dxa" w:w="80"/>
              <w:right w:type="dxa" w:w="240"/>
            </w:tcMar>
          </w:tcPr>
          <w:p>
            <w:pPr>
              <w:jc w:val="center"/>
            </w:pPr>
            <w:r>
              <w:rPr>
                <w:rFonts w:ascii="Arial" w:cs="Arial" w:eastAsia="Arial" w:hAnsi="Arial"/>
                <w:b/>
                <w:bCs/>
                <w:color w:val="FFFFFF"/>
                <w:sz w:val="20"/>
                <w:szCs w:val="20"/>
              </w:rPr>
              <w:t xml:space="preserve">SECTION 4: ASSESSMENT AND PORTFOLIO EVIDENCE</w:t>
            </w:r>
          </w:p>
        </w:tc>
      </w:tr>
      <w:tr>
        <w:tc>
          <w:tcPr>
            <w:tcW w:type="dxa" w:w="10080"/>
            <w:tcBorders>
              <w:top w:val="none"/>
              <w:left w:val="none"/>
              <w:bottom w:val="none"/>
              <w:right w:val="none"/>
            </w:tcBorders>
            <w:shd w:fill="8B4500" w:val="clear"/>
            <w:tcMar>
              <w:top w:type="dxa" w:w="0"/>
              <w:left w:type="dxa" w:w="240"/>
              <w:bottom w:type="dxa" w:w="130"/>
              <w:right w:type="dxa" w:w="240"/>
            </w:tcMar>
          </w:tcPr>
          <w:p>
            <w:pPr>
              <w:jc w:val="center"/>
            </w:pPr>
            <w:r>
              <w:rPr>
                <w:rFonts w:ascii="Arial" w:cs="Arial" w:eastAsia="Arial" w:hAnsi="Arial"/>
                <w:color w:val="AABBCC"/>
                <w:sz w:val="17"/>
                <w:szCs w:val="17"/>
              </w:rPr>
              <w:t xml:space="preserve">Idea Notebook · Assessment criteria · Evidence mapping</w:t>
            </w:r>
          </w:p>
        </w:tc>
      </w:tr>
    </w:tbl>
    <w:p>
      <w:pPr>
        <w:spacing w:after="280" w:before="0"/>
      </w:pPr>
    </w:p>
    <w:p>
      <w:pPr>
        <w:spacing w:after="150" w:before="0" w:line="280" w:lineRule="auto"/>
        <w:jc w:val="both"/>
      </w:pPr>
      <w:r>
        <w:rPr>
          <w:rFonts w:ascii="Arial" w:cs="Arial" w:eastAsia="Arial" w:hAnsi="Arial"/>
          <w:b w:val="false"/>
          <w:bCs w:val="false"/>
          <w:i w:val="false"/>
          <w:iCs w:val="false"/>
          <w:color w:val="444444"/>
          <w:sz w:val="19"/>
          <w:szCs w:val="19"/>
        </w:rPr>
        <w:t xml:space="preserve">For CBSE schools, the Idea Notebook provides portfolio evidence relevant to Life Skills assessment, English writing portfolios, and NEP 2020 holistic progress reports. The Four Jars Money Record is directly assessable against NCERT Mathematics learning outcomes for Classes 6–7. Phase Reviews align to CBSE term assessment cycles. The Year-End Letter is suitable as a Class 10 personal development portfolio document.</w:t>
      </w:r>
    </w:p>
    <w:p>
      <w:pPr>
        <w:spacing w:after="200" w:before="0"/>
      </w:pP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
      </w:tblGrid>
      <w:tr>
        <w:tc>
          <w:tcPr>
            <w:tcW w:type="dxa" w:w="10080"/>
            <w:tcBorders>
              <w:top w:val="single" w:color="8B4500" w:sz="4"/>
              <w:left w:val="single" w:color="8B4500" w:sz="14"/>
              <w:bottom w:val="single" w:color="8B4500" w:sz="4"/>
              <w:right w:val="none"/>
            </w:tcBorders>
            <w:shd w:fill="FFF5EA" w:val="clear"/>
            <w:tcMar>
              <w:top w:type="dxa" w:w="120"/>
              <w:left w:type="dxa" w:w="200"/>
              <w:bottom w:type="dxa" w:w="120"/>
              <w:right w:type="dxa" w:w="180"/>
            </w:tcMar>
          </w:tcPr>
          <w:p>
            <w:pPr>
              <w:spacing w:after="65" w:before="0" w:line="265" w:lineRule="auto"/>
            </w:pPr>
            <w:r>
              <w:rPr>
                <w:rFonts w:ascii="Arial" w:cs="Arial" w:eastAsia="Arial" w:hAnsi="Arial"/>
                <w:color w:val="444444"/>
                <w:sz w:val="18"/>
                <w:szCs w:val="18"/>
              </w:rPr>
              <w:t xml:space="preserve">IDEA NOTEBOOK SECTION → ASSESSMENT EVIDENCE</w:t>
            </w:r>
          </w:p>
          <w:p>
            <w:pPr>
              <w:spacing w:after="65" w:before="0" w:line="265" w:lineRule="auto"/>
            </w:pPr>
            <w:r>
              <w:rPr>
                <w:rFonts w:ascii="Arial" w:cs="Arial" w:eastAsia="Arial" w:hAnsi="Arial"/>
                <w:color w:val="444444"/>
                <w:sz w:val="18"/>
                <w:szCs w:val="18"/>
              </w:rPr>
              <w:t xml:space="preserve">Weekly Noticing Entries (52, dated) → Personal development log · Reflective writing · Observation skills</w:t>
            </w:r>
          </w:p>
          <w:p>
            <w:pPr>
              <w:spacing w:after="65" w:before="0" w:line="265" w:lineRule="auto"/>
            </w:pPr>
            <w:r>
              <w:rPr>
                <w:rFonts w:ascii="Arial" w:cs="Arial" w:eastAsia="Arial" w:hAnsi="Arial"/>
                <w:color w:val="444444"/>
                <w:sz w:val="18"/>
                <w:szCs w:val="18"/>
              </w:rPr>
              <w:t xml:space="preserve">Open Questions Record → Inquiry skills · Research initiation · Critical questioning</w:t>
            </w:r>
          </w:p>
          <w:p>
            <w:pPr>
              <w:spacing w:after="65" w:before="0" w:line="265" w:lineRule="auto"/>
            </w:pPr>
            <w:r>
              <w:rPr>
                <w:rFonts w:ascii="Arial" w:cs="Arial" w:eastAsia="Arial" w:hAnsi="Arial"/>
                <w:color w:val="444444"/>
                <w:sz w:val="18"/>
                <w:szCs w:val="18"/>
              </w:rPr>
              <w:t xml:space="preserve">Experiment Log (Try · Happen · Learn) → Scientific method · Problem-solving · Analytical writing</w:t>
            </w:r>
          </w:p>
          <w:p>
            <w:pPr>
              <w:spacing w:after="65" w:before="0" w:line="265" w:lineRule="auto"/>
            </w:pPr>
            <w:r>
              <w:rPr>
                <w:rFonts w:ascii="Arial" w:cs="Arial" w:eastAsia="Arial" w:hAnsi="Arial"/>
                <w:color w:val="444444"/>
                <w:sz w:val="18"/>
                <w:szCs w:val="18"/>
              </w:rPr>
              <w:t xml:space="preserve">Three Questions Reflection → Self-assessment · Critical and creative thinking · Metacognition</w:t>
            </w:r>
          </w:p>
          <w:p>
            <w:pPr>
              <w:spacing w:after="65" w:before="0" w:line="265" w:lineRule="auto"/>
            </w:pPr>
            <w:r>
              <w:rPr>
                <w:rFonts w:ascii="Arial" w:cs="Arial" w:eastAsia="Arial" w:hAnsi="Arial"/>
                <w:color w:val="444444"/>
                <w:sz w:val="18"/>
                <w:szCs w:val="18"/>
              </w:rPr>
              <w:t xml:space="preserve">Four Jars Money Record → Numeracy · Financial literacy · Data recording</w:t>
            </w:r>
          </w:p>
          <w:p>
            <w:pPr>
              <w:spacing w:after="65" w:before="0" w:line="265" w:lineRule="auto"/>
            </w:pPr>
            <w:r>
              <w:rPr>
                <w:rFonts w:ascii="Arial" w:cs="Arial" w:eastAsia="Arial" w:hAnsi="Arial"/>
                <w:color w:val="444444"/>
                <w:sz w:val="18"/>
                <w:szCs w:val="18"/>
              </w:rPr>
              <w:t xml:space="preserve">Phase Reviews (×4, Weeks 13/26/39/52) → Summative reflection · Progress documentation · Portfolio milestones</w:t>
            </w:r>
          </w:p>
          <w:p>
            <w:pPr>
              <w:spacing w:after="65" w:before="0" w:line="265" w:lineRule="auto"/>
            </w:pPr>
            <w:r>
              <w:rPr>
                <w:rFonts w:ascii="Arial" w:cs="Arial" w:eastAsia="Arial" w:hAnsi="Arial"/>
                <w:color w:val="444444"/>
                <w:sz w:val="18"/>
                <w:szCs w:val="18"/>
              </w:rPr>
              <w:t xml:space="preserve">Year-End Letter (Week 52) → Extended response · Year-long synthesis · Personal project equivalent</w:t>
            </w:r>
          </w:p>
        </w:tc>
      </w:tr>
    </w:tbl>
    <w:p>
      <w:pPr>
        <w:spacing w:after="400" w:before="0"/>
      </w:pPr>
    </w:p>
    <w:p>
      <w:pPr>
        <w:pBdr>
          <w:bottom w:val="single" w:color="8B4500" w:sz="3"/>
        </w:pBdr>
        <w:spacing w:after="120" w:before="120"/>
      </w:pPr>
    </w:p>
    <w:p>
      <w:pPr>
        <w:spacing w:after="240" w:before="0"/>
      </w:pPr>
    </w:p>
    <w:p>
      <w:pPr>
        <w:spacing w:after="60" w:before="0"/>
        <w:jc w:val="center"/>
      </w:pPr>
      <w:r>
        <w:rPr>
          <w:rFonts w:ascii="Arial" w:cs="Arial" w:eastAsia="Arial" w:hAnsi="Arial"/>
          <w:color w:val="888888"/>
          <w:sz w:val="18"/>
          <w:szCs w:val="18"/>
        </w:rPr>
        <w:t xml:space="preserve">Aligned to CBSE National Curriculum Framework 2023, NCERT Learning Outcomes, and National Education Policy 2020. For school enquiries: simplejoyfamily.com/schools</w:t>
      </w:r>
    </w:p>
    <w:p>
      <w:pPr>
        <w:spacing w:after="50" w:before="0"/>
        <w:jc w:val="center"/>
      </w:pPr>
      <w:r>
        <w:rPr>
          <w:rFonts w:ascii="Arial" w:cs="Arial" w:eastAsia="Arial" w:hAnsi="Arial"/>
          <w:b/>
          <w:bCs/>
          <w:color w:val="B8860B"/>
          <w:sz w:val="17"/>
          <w:szCs w:val="17"/>
        </w:rPr>
        <w:t xml:space="preserve">All six curriculum alignment documents: simplejoyfamily.com/schools</w:t>
      </w:r>
    </w:p>
    <w:p>
      <w:pPr>
        <w:spacing w:after="160" w:before="0"/>
      </w:pPr>
    </w:p>
    <w:p>
      <w:pPr>
        <w:spacing w:after="60" w:before="0"/>
        <w:jc w:val="center"/>
      </w:pPr>
      <w:r>
        <w:rPr>
          <w:rFonts w:ascii="Georgia" w:cs="Georgia" w:eastAsia="Georgia" w:hAnsi="Georgia"/>
          <w:color w:val="1F3864"/>
          <w:sz w:val="20"/>
          <w:szCs w:val="20"/>
        </w:rPr>
        <w:t xml:space="preserve">"Don't be awed. Create awe."</w:t>
      </w:r>
    </w:p>
    <w:p>
      <w:pPr>
        <w:spacing w:after="60" w:before="0"/>
        <w:jc w:val="center"/>
      </w:pPr>
      <w:r>
        <w:rPr>
          <w:rFonts w:ascii="Arial" w:cs="Arial" w:eastAsia="Arial" w:hAnsi="Arial"/>
          <w:color w:val="888888"/>
          <w:sz w:val="16"/>
          <w:szCs w:val="16"/>
        </w:rPr>
        <w:t xml:space="preserve">Vishnu Shanker and Nivedita Shanker  ·  SimpleJoy | SaralAnand Foundation  ·  simplejoyfamily.com</w:t>
      </w:r>
    </w:p>
    <w:sectPr>
      <w:pgSz w:w="12240" w:h="15840" w:orient="portrait"/>
      <w:pgMar w:top="900" w:right="1080" w:bottom="90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19"/>
        <w:szCs w:val="19"/>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2026-07-13T16:52:21.855Z</dcterms:created>
  <dcterms:modified xsi:type="dcterms:W3CDTF">2026-07-13T16:52:21.855Z</dcterms:modified>
</cp:coreProperties>
</file>

<file path=docProps/custom.xml><?xml version="1.0" encoding="utf-8"?>
<Properties xmlns="http://schemas.openxmlformats.org/officeDocument/2006/custom-properties" xmlns:vt="http://schemas.openxmlformats.org/officeDocument/2006/docPropsVTypes"/>
</file>